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45" w:rsidRPr="00EF523D" w:rsidRDefault="00B83A45" w:rsidP="00B83A45">
      <w:pPr>
        <w:spacing w:afterLines="50" w:after="156"/>
        <w:ind w:leftChars="-514" w:left="-1079" w:rightChars="-501" w:right="-1052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EF523D">
        <w:rPr>
          <w:rFonts w:ascii="宋体" w:hAnsi="宋体" w:hint="eastAsia"/>
          <w:b/>
          <w:sz w:val="36"/>
          <w:szCs w:val="36"/>
        </w:rPr>
        <w:t>江苏省2013年度优秀博士论文名单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953"/>
        <w:gridCol w:w="953"/>
        <w:gridCol w:w="5793"/>
      </w:tblGrid>
      <w:tr w:rsidR="00A622EB" w:rsidRPr="00A622EB" w:rsidTr="00A622EB">
        <w:trPr>
          <w:trHeight w:hRule="exact" w:val="624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   文   题   目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林华敏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王恒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从隔离的自我到异质性的他人：论列维纳斯的绝对伦理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李子联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沈坤荣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中国的收入不平等与经济增长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宋亚辉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李友根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社会性规制中的路径选择——行政规制、司法规制抑或合作规制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司开玲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范可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知识与权力：农民环境抗争的人类学研究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李章斌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丁帆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“九叶”诗人的诗学策略与历史关联（1937-1949）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陶敏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何炳生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可分凸规划的分裂算法及其应用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轩海成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都有为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复相多铁性材料的逆磁电效应研究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李玲玲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张剑荣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量子点的制备与电致化学发光分析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蒋彬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谢代前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从气相到金属表面的小分子势能面与量子动力学的理论研究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程鑫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丁明德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日冕物质抛射起源、结构和演化的研究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钱勇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朱海亮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功能分子的设计合成及在硫化氢检测、方酸胺催化、抗癌活性中的研究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李丽民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曾科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细胞质、细胞核、线粒体及细胞外microRNAs的功能及应用研究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许含霓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刘治国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银硫系化合物的相变行为与电输运特性研究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傅德颐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张荣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半导体应变和极化诱导能带工程及其动力学输运研究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蒲殷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伍瑞新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应用磁性光子晶体调控电磁波传播的理论与实验研究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王魏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周志华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多视图在利用未标记数据中的效用分析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刘春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施斌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城市热岛环境中土体温度场、强度和变形的数值模拟与图像分析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张宴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程树培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长江南京饮用水源水潜在代谢组毒性研究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徐红利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周晶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基于有限理性的城市交通系统均衡与拥挤收费策略研究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沈永建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陈冬华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职工薪酬与企业绩效——来自中国企业的实证研究</w:t>
            </w:r>
          </w:p>
        </w:tc>
      </w:tr>
      <w:tr w:rsidR="00A622EB" w:rsidRPr="00A622EB" w:rsidTr="00A622EB">
        <w:trPr>
          <w:trHeight w:hRule="exact"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赵宇翔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朱庆华</w:t>
            </w:r>
          </w:p>
        </w:tc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EB" w:rsidRPr="00A622EB" w:rsidRDefault="00A622EB" w:rsidP="00A622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622EB">
              <w:rPr>
                <w:rFonts w:ascii="宋体" w:hAnsi="宋体" w:cs="宋体" w:hint="eastAsia"/>
                <w:kern w:val="0"/>
                <w:sz w:val="24"/>
              </w:rPr>
              <w:t>社会化媒体中用户生成内容的动因与激励设计研究</w:t>
            </w:r>
          </w:p>
        </w:tc>
      </w:tr>
    </w:tbl>
    <w:p w:rsidR="00DD66C6" w:rsidRDefault="00DD66C6" w:rsidP="009265FA">
      <w:pPr>
        <w:rPr>
          <w:rFonts w:hint="eastAsia"/>
        </w:rPr>
      </w:pPr>
    </w:p>
    <w:sectPr w:rsidR="00DD66C6" w:rsidSect="009265FA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CE" w:rsidRDefault="001F15CE" w:rsidP="00A622EB">
      <w:r>
        <w:separator/>
      </w:r>
    </w:p>
  </w:endnote>
  <w:endnote w:type="continuationSeparator" w:id="0">
    <w:p w:rsidR="001F15CE" w:rsidRDefault="001F15CE" w:rsidP="00A6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CE" w:rsidRDefault="001F15CE" w:rsidP="00A622EB">
      <w:r>
        <w:separator/>
      </w:r>
    </w:p>
  </w:footnote>
  <w:footnote w:type="continuationSeparator" w:id="0">
    <w:p w:rsidR="001F15CE" w:rsidRDefault="001F15CE" w:rsidP="00A6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45"/>
    <w:rsid w:val="001F15CE"/>
    <w:rsid w:val="009265FA"/>
    <w:rsid w:val="00A622EB"/>
    <w:rsid w:val="00B83A45"/>
    <w:rsid w:val="00DD66C6"/>
    <w:rsid w:val="00ED17CE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2E6A6-D97C-4BCD-97BD-B8AEBE21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2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2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>Company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闵逸(PX1606801)</cp:lastModifiedBy>
  <cp:revision>4</cp:revision>
  <dcterms:created xsi:type="dcterms:W3CDTF">2018-03-12T07:37:00Z</dcterms:created>
  <dcterms:modified xsi:type="dcterms:W3CDTF">2018-03-12T10:09:00Z</dcterms:modified>
</cp:coreProperties>
</file>