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45" w:rsidRPr="000138C6" w:rsidRDefault="00CE6945" w:rsidP="000138C6">
      <w:pPr>
        <w:jc w:val="center"/>
        <w:rPr>
          <w:rFonts w:ascii="黑体" w:eastAsia="黑体" w:hAnsi="黑体"/>
          <w:sz w:val="32"/>
          <w:szCs w:val="32"/>
        </w:rPr>
      </w:pPr>
      <w:r w:rsidRPr="000138C6">
        <w:rPr>
          <w:rFonts w:ascii="黑体" w:eastAsia="黑体" w:hAnsi="黑体" w:hint="eastAsia"/>
          <w:sz w:val="32"/>
          <w:szCs w:val="32"/>
        </w:rPr>
        <w:t>南京大学戏剧与影视学（一级学科）研究生培养方案</w:t>
      </w:r>
    </w:p>
    <w:p w:rsidR="00CE6945" w:rsidRDefault="00CE6945">
      <w:pPr>
        <w:jc w:val="center"/>
      </w:pPr>
      <w:r>
        <w:rPr>
          <w:rFonts w:hint="eastAsia"/>
        </w:rPr>
        <w:t>（</w:t>
      </w:r>
      <w:r>
        <w:t>2016</w:t>
      </w:r>
      <w:r>
        <w:rPr>
          <w:rFonts w:hint="eastAsia"/>
        </w:rPr>
        <w:t>年修订）</w:t>
      </w:r>
    </w:p>
    <w:p w:rsidR="00CE6945" w:rsidRDefault="00CE6945"/>
    <w:p w:rsidR="00CE6945" w:rsidRDefault="00CE6945"/>
    <w:p w:rsidR="00CE6945" w:rsidRPr="000138C6" w:rsidRDefault="00CE6945">
      <w:pPr>
        <w:rPr>
          <w:rFonts w:ascii="黑体" w:eastAsia="黑体" w:hAnsi="黑体"/>
          <w:sz w:val="24"/>
          <w:szCs w:val="24"/>
        </w:rPr>
      </w:pPr>
      <w:r w:rsidRPr="000138C6">
        <w:rPr>
          <w:rFonts w:ascii="黑体" w:eastAsia="黑体" w:hAnsi="黑体" w:hint="eastAsia"/>
          <w:sz w:val="24"/>
          <w:szCs w:val="24"/>
        </w:rPr>
        <w:t>指导思想</w:t>
      </w:r>
    </w:p>
    <w:p w:rsidR="00CE6945" w:rsidRDefault="00CE6945">
      <w:pPr>
        <w:ind w:firstLine="420"/>
      </w:pPr>
      <w:r>
        <w:rPr>
          <w:rFonts w:ascii="宋体" w:hAnsi="宋体" w:hint="eastAsia"/>
          <w:kern w:val="0"/>
          <w:szCs w:val="21"/>
        </w:rPr>
        <w:t>根据艺术学学科的特点和国家对本学科人才的需要，</w:t>
      </w:r>
      <w:r>
        <w:rPr>
          <w:rFonts w:hint="eastAsia"/>
        </w:rPr>
        <w:t>确定研究生的培养目标；参照国际通行的一级学科培养研究生的经验；兼顾本科、硕士生</w:t>
      </w:r>
      <w:smartTag w:uri="urn:schemas-microsoft-com:office:smarttags" w:element="PersonName">
        <w:smartTagPr>
          <w:attr w:name="ProductID" w:val="和"/>
        </w:smartTagPr>
        <w:r>
          <w:rPr>
            <w:rFonts w:hint="eastAsia"/>
          </w:rPr>
          <w:t>和</w:t>
        </w:r>
      </w:smartTag>
      <w:r>
        <w:rPr>
          <w:rFonts w:hint="eastAsia"/>
        </w:rPr>
        <w:t>博士生之间的衔接，建构科学合理的人才培养体系；遵循教育规律，提高教育质量和效益；关注当代学术最新发展，发扬自身特色，培养具有现代知识结构和实践能力的复合型人才。</w:t>
      </w:r>
    </w:p>
    <w:p w:rsidR="00CE6945" w:rsidRDefault="00CE6945"/>
    <w:p w:rsidR="00CE6945" w:rsidRPr="000138C6" w:rsidRDefault="00CE6945">
      <w:pPr>
        <w:rPr>
          <w:rFonts w:ascii="黑体" w:eastAsia="黑体" w:hAnsi="黑体"/>
          <w:sz w:val="24"/>
          <w:szCs w:val="24"/>
        </w:rPr>
      </w:pPr>
      <w:r w:rsidRPr="000138C6">
        <w:rPr>
          <w:rFonts w:ascii="黑体" w:eastAsia="黑体" w:hAnsi="黑体" w:hint="eastAsia"/>
          <w:sz w:val="24"/>
          <w:szCs w:val="24"/>
        </w:rPr>
        <w:t>硕士</w:t>
      </w:r>
    </w:p>
    <w:p w:rsidR="00CE6945" w:rsidRDefault="00CE6945"/>
    <w:p w:rsidR="00CE6945" w:rsidRDefault="00CE6945">
      <w:pPr>
        <w:numPr>
          <w:ilvl w:val="0"/>
          <w:numId w:val="1"/>
        </w:numPr>
      </w:pPr>
      <w:r>
        <w:rPr>
          <w:rFonts w:hint="eastAsia"/>
        </w:rPr>
        <w:t>硕士生培养目标</w:t>
      </w:r>
    </w:p>
    <w:p w:rsidR="00CE6945" w:rsidRDefault="00CE6945" w:rsidP="00064D23">
      <w:pPr>
        <w:widowControl/>
        <w:snapToGrid w:val="0"/>
        <w:ind w:firstLineChars="200" w:firstLine="420"/>
        <w:rPr>
          <w:rFonts w:ascii="宋体"/>
          <w:kern w:val="0"/>
          <w:szCs w:val="21"/>
        </w:rPr>
      </w:pPr>
      <w:r>
        <w:rPr>
          <w:rFonts w:ascii="宋体" w:hAnsi="宋体"/>
          <w:kern w:val="0"/>
          <w:szCs w:val="21"/>
        </w:rPr>
        <w:t>1.</w:t>
      </w:r>
      <w:r>
        <w:rPr>
          <w:rFonts w:ascii="宋体" w:hAnsi="宋体" w:hint="eastAsia"/>
          <w:kern w:val="0"/>
          <w:szCs w:val="21"/>
        </w:rPr>
        <w:t>具备戏剧与影视学方面比较扎实的基础理论和比较广博的专业知识；具备运用所学理论、知识独立解决实际问题的能力；能够从事戏剧与影视学及相近学科的教学、科研，以及文化、传媒、新闻、出版、管理等方面的工作。</w:t>
      </w:r>
    </w:p>
    <w:p w:rsidR="00CE6945" w:rsidRDefault="00CE6945" w:rsidP="00064D23">
      <w:pPr>
        <w:widowControl/>
        <w:snapToGrid w:val="0"/>
        <w:ind w:firstLineChars="200" w:firstLine="420"/>
        <w:rPr>
          <w:kern w:val="0"/>
          <w:szCs w:val="21"/>
        </w:rPr>
      </w:pPr>
      <w:r>
        <w:t>2.</w:t>
      </w:r>
      <w:r>
        <w:rPr>
          <w:rFonts w:hint="eastAsia"/>
        </w:rPr>
        <w:t>掌握一门外国语和计算机应用。</w:t>
      </w:r>
    </w:p>
    <w:p w:rsidR="00CE6945" w:rsidRDefault="00CE6945" w:rsidP="00064D23">
      <w:pPr>
        <w:widowControl/>
        <w:snapToGrid w:val="0"/>
        <w:ind w:firstLineChars="200" w:firstLine="420"/>
        <w:rPr>
          <w:kern w:val="0"/>
          <w:szCs w:val="21"/>
        </w:rPr>
      </w:pPr>
      <w:r>
        <w:t>3.</w:t>
      </w:r>
      <w:r>
        <w:rPr>
          <w:rFonts w:hint="eastAsia"/>
        </w:rPr>
        <w:t>德才兼备，身体健康。</w:t>
      </w:r>
    </w:p>
    <w:p w:rsidR="00CE6945" w:rsidRDefault="00CE6945">
      <w:pPr>
        <w:numPr>
          <w:ilvl w:val="0"/>
          <w:numId w:val="1"/>
        </w:numPr>
      </w:pPr>
      <w:r>
        <w:rPr>
          <w:rFonts w:hint="eastAsia"/>
        </w:rPr>
        <w:t>硕士生招生</w:t>
      </w:r>
    </w:p>
    <w:p w:rsidR="00CE6945" w:rsidRDefault="00CE6945">
      <w:pPr>
        <w:numPr>
          <w:ilvl w:val="1"/>
          <w:numId w:val="1"/>
        </w:numPr>
      </w:pPr>
      <w:r>
        <w:rPr>
          <w:rFonts w:hint="eastAsia"/>
        </w:rPr>
        <w:t>统招生</w:t>
      </w:r>
    </w:p>
    <w:p w:rsidR="00CE6945" w:rsidRDefault="00CE6945" w:rsidP="000138C6">
      <w:pPr>
        <w:ind w:left="420"/>
      </w:pPr>
      <w:r>
        <w:rPr>
          <w:rFonts w:hint="eastAsia"/>
        </w:rPr>
        <w:t>符合研究生报名条件，参加全国研究生统一考试，考试成绩合格并进入当年招生计划范围内的考生，可参加研究生复试。复试及思想表现审查合格者，可录取为当年硕士研究生。</w:t>
      </w:r>
    </w:p>
    <w:p w:rsidR="00CE6945" w:rsidRDefault="00CE6945">
      <w:pPr>
        <w:ind w:left="420"/>
      </w:pPr>
      <w:r>
        <w:rPr>
          <w:rFonts w:hint="eastAsia"/>
        </w:rPr>
        <w:t>硕士生统招生考试和录取均在一级学科进行。</w:t>
      </w:r>
    </w:p>
    <w:p w:rsidR="00CE6945" w:rsidRDefault="00CE6945">
      <w:pPr>
        <w:ind w:left="420"/>
      </w:pPr>
      <w:r>
        <w:rPr>
          <w:rFonts w:hint="eastAsia"/>
        </w:rPr>
        <w:t>初试阶段专业课的考试科目是：</w:t>
      </w:r>
    </w:p>
    <w:p w:rsidR="00CE6945" w:rsidRDefault="00CE6945">
      <w:pPr>
        <w:numPr>
          <w:ilvl w:val="0"/>
          <w:numId w:val="2"/>
        </w:numPr>
      </w:pPr>
      <w:r>
        <w:rPr>
          <w:rFonts w:hint="eastAsia"/>
        </w:rPr>
        <w:t>戏剧与影视基础（含戏剧与影视理论、中外戏剧、中外影视）；</w:t>
      </w:r>
    </w:p>
    <w:p w:rsidR="00CE6945" w:rsidRDefault="00CE6945">
      <w:pPr>
        <w:numPr>
          <w:ilvl w:val="0"/>
          <w:numId w:val="2"/>
        </w:numPr>
      </w:pPr>
      <w:r>
        <w:rPr>
          <w:rFonts w:hint="eastAsia"/>
        </w:rPr>
        <w:t>评论写作</w:t>
      </w:r>
    </w:p>
    <w:p w:rsidR="00CE6945" w:rsidRDefault="00CE6945">
      <w:pPr>
        <w:ind w:left="420"/>
      </w:pPr>
      <w:r>
        <w:rPr>
          <w:rFonts w:hint="eastAsia"/>
        </w:rPr>
        <w:t>复试：</w:t>
      </w:r>
    </w:p>
    <w:p w:rsidR="00CE6945" w:rsidRDefault="00CE6945" w:rsidP="00064D23">
      <w:pPr>
        <w:ind w:leftChars="200" w:left="420"/>
      </w:pPr>
      <w:r>
        <w:rPr>
          <w:rFonts w:hint="eastAsia"/>
        </w:rPr>
        <w:t>初试合格者进入复试。复试科目：戏剧与影视专题</w:t>
      </w:r>
    </w:p>
    <w:p w:rsidR="00CE6945" w:rsidRDefault="00CE6945">
      <w:pPr>
        <w:ind w:left="420"/>
      </w:pPr>
      <w:r>
        <w:t>2.</w:t>
      </w:r>
      <w:r>
        <w:rPr>
          <w:rFonts w:hint="eastAsia"/>
        </w:rPr>
        <w:t>免试生</w:t>
      </w:r>
    </w:p>
    <w:p w:rsidR="00CE6945" w:rsidRDefault="00CE6945" w:rsidP="00064D23">
      <w:pPr>
        <w:ind w:firstLineChars="150" w:firstLine="315"/>
      </w:pPr>
      <w:r>
        <w:rPr>
          <w:rFonts w:hint="eastAsia"/>
        </w:rPr>
        <w:t>“</w:t>
      </w:r>
      <w:r>
        <w:t>985</w:t>
      </w:r>
      <w:r>
        <w:rPr>
          <w:rFonts w:hint="eastAsia"/>
        </w:rPr>
        <w:t>”、“</w:t>
      </w:r>
      <w:r>
        <w:t>211</w:t>
      </w:r>
      <w:r>
        <w:rPr>
          <w:rFonts w:hint="eastAsia"/>
        </w:rPr>
        <w:t>”学校具有推免资格的应届本科毕业生，可申请免予参加全国研究生入学考试，经审查并面试合格后直接录取为硕士研究生。</w:t>
      </w:r>
    </w:p>
    <w:p w:rsidR="00CE6945" w:rsidRDefault="00CE6945">
      <w:pPr>
        <w:numPr>
          <w:ilvl w:val="0"/>
          <w:numId w:val="1"/>
        </w:numPr>
      </w:pPr>
      <w:r>
        <w:rPr>
          <w:rFonts w:hint="eastAsia"/>
        </w:rPr>
        <w:t>硕士生课程设置</w:t>
      </w:r>
    </w:p>
    <w:p w:rsidR="00CE6945" w:rsidRDefault="00CE6945">
      <w:pPr>
        <w:pStyle w:val="1"/>
        <w:ind w:left="420" w:firstLineChars="0" w:firstLine="0"/>
      </w:pPr>
      <w:r>
        <w:rPr>
          <w:rFonts w:hint="eastAsia"/>
        </w:rPr>
        <w:t>为适应实际需要，硕士生课程设置淡化专业界限，鼓励学科交叉，增设前沿性学科，为学生在较为广阔的领域接受教育创造条件，以利于培养复合型人才，利于学生个性的自由发展。</w:t>
      </w:r>
    </w:p>
    <w:p w:rsidR="00CE6945" w:rsidRDefault="00CE6945">
      <w:pPr>
        <w:ind w:left="420"/>
      </w:pPr>
      <w:r>
        <w:rPr>
          <w:rFonts w:hint="eastAsia"/>
        </w:rPr>
        <w:t>根据《中华人民共和国学位条例实施办法》，硕士生须修满</w:t>
      </w:r>
      <w:r>
        <w:t>32</w:t>
      </w:r>
      <w:r>
        <w:rPr>
          <w:rFonts w:hint="eastAsia"/>
        </w:rPr>
        <w:t>学分（非中文专业本科毕业生须补修</w:t>
      </w:r>
      <w:r>
        <w:t>4</w:t>
      </w:r>
      <w:r>
        <w:rPr>
          <w:rFonts w:hint="eastAsia"/>
        </w:rPr>
        <w:t>学分中文专业本科段课程），并通过硕士学位课程考试合格者，方可申请学位论文答辩。</w:t>
      </w:r>
    </w:p>
    <w:p w:rsidR="00CE6945" w:rsidRDefault="00CE6945">
      <w:pPr>
        <w:ind w:left="420"/>
      </w:pPr>
      <w:r>
        <w:rPr>
          <w:rFonts w:hint="eastAsia"/>
        </w:rPr>
        <w:t>硕士生课程由</w:t>
      </w:r>
      <w:r>
        <w:t>A</w:t>
      </w:r>
      <w:r>
        <w:rPr>
          <w:rFonts w:hint="eastAsia"/>
        </w:rPr>
        <w:t>、</w:t>
      </w:r>
      <w:r>
        <w:t>B</w:t>
      </w:r>
      <w:r>
        <w:rPr>
          <w:rFonts w:hint="eastAsia"/>
        </w:rPr>
        <w:t>、</w:t>
      </w:r>
      <w:r>
        <w:t>C</w:t>
      </w:r>
      <w:r>
        <w:rPr>
          <w:rFonts w:hint="eastAsia"/>
        </w:rPr>
        <w:t>、</w:t>
      </w:r>
      <w:r>
        <w:t>D</w:t>
      </w:r>
      <w:r>
        <w:rPr>
          <w:rFonts w:hint="eastAsia"/>
        </w:rPr>
        <w:t>四类组成：</w:t>
      </w:r>
    </w:p>
    <w:p w:rsidR="00CE6945" w:rsidRDefault="00CE6945">
      <w:pPr>
        <w:pStyle w:val="1"/>
        <w:numPr>
          <w:ilvl w:val="0"/>
          <w:numId w:val="3"/>
        </w:numPr>
        <w:ind w:firstLineChars="0"/>
      </w:pPr>
      <w:r>
        <w:t>A</w:t>
      </w:r>
      <w:r>
        <w:rPr>
          <w:rFonts w:hint="eastAsia"/>
        </w:rPr>
        <w:t>类必修课（</w:t>
      </w:r>
      <w:r>
        <w:t>7</w:t>
      </w:r>
      <w:r>
        <w:rPr>
          <w:rFonts w:hint="eastAsia"/>
        </w:rPr>
        <w:t>学分）</w:t>
      </w:r>
    </w:p>
    <w:p w:rsidR="00CE6945" w:rsidRDefault="00CE6945">
      <w:pPr>
        <w:pStyle w:val="1"/>
        <w:ind w:left="1560" w:firstLineChars="0" w:firstLine="0"/>
      </w:pPr>
      <w:r>
        <w:rPr>
          <w:rFonts w:hint="eastAsia"/>
        </w:rPr>
        <w:t>①中国特色社会主义理论与实践研究（</w:t>
      </w:r>
      <w:r>
        <w:t>2</w:t>
      </w:r>
      <w:r>
        <w:rPr>
          <w:rFonts w:hint="eastAsia"/>
        </w:rPr>
        <w:t>学分）</w:t>
      </w:r>
      <w:r>
        <w:t xml:space="preserve">  </w:t>
      </w:r>
      <w:r>
        <w:rPr>
          <w:rFonts w:hint="eastAsia"/>
        </w:rPr>
        <w:t>②马克思主义原著选读（</w:t>
      </w:r>
      <w:r>
        <w:t>1</w:t>
      </w:r>
      <w:r>
        <w:rPr>
          <w:rFonts w:hint="eastAsia"/>
        </w:rPr>
        <w:t>学分）</w:t>
      </w:r>
      <w:r>
        <w:t xml:space="preserve">  </w:t>
      </w:r>
      <w:r>
        <w:rPr>
          <w:rFonts w:hint="eastAsia"/>
        </w:rPr>
        <w:t>③英语（</w:t>
      </w:r>
      <w:r>
        <w:t>4</w:t>
      </w:r>
      <w:r>
        <w:rPr>
          <w:rFonts w:hint="eastAsia"/>
        </w:rPr>
        <w:t>学分）</w:t>
      </w:r>
    </w:p>
    <w:p w:rsidR="00CE6945" w:rsidRDefault="00CE6945">
      <w:pPr>
        <w:ind w:left="840"/>
      </w:pPr>
      <w:r>
        <w:rPr>
          <w:rFonts w:hint="eastAsia"/>
        </w:rPr>
        <w:t>（</w:t>
      </w:r>
      <w:r>
        <w:t>2</w:t>
      </w:r>
      <w:r>
        <w:rPr>
          <w:rFonts w:hint="eastAsia"/>
        </w:rPr>
        <w:t>）</w:t>
      </w:r>
      <w:r>
        <w:t>B</w:t>
      </w:r>
      <w:r>
        <w:rPr>
          <w:rFonts w:hint="eastAsia"/>
        </w:rPr>
        <w:t>类选修课（</w:t>
      </w:r>
      <w:r>
        <w:t>6-9</w:t>
      </w:r>
      <w:r>
        <w:rPr>
          <w:rFonts w:hint="eastAsia"/>
        </w:rPr>
        <w:t>学分）</w:t>
      </w:r>
    </w:p>
    <w:p w:rsidR="00CE6945" w:rsidRDefault="00CE6945">
      <w:pPr>
        <w:ind w:left="840"/>
      </w:pPr>
      <w:r>
        <w:rPr>
          <w:rFonts w:hint="eastAsia"/>
        </w:rPr>
        <w:lastRenderedPageBreak/>
        <w:t>（</w:t>
      </w:r>
      <w:r>
        <w:t>3</w:t>
      </w:r>
      <w:r>
        <w:rPr>
          <w:rFonts w:hint="eastAsia"/>
        </w:rPr>
        <w:t>）</w:t>
      </w:r>
      <w:r>
        <w:t>C</w:t>
      </w:r>
      <w:r>
        <w:rPr>
          <w:rFonts w:hint="eastAsia"/>
        </w:rPr>
        <w:t>类选修课</w:t>
      </w:r>
      <w:r>
        <w:rPr>
          <w:rFonts w:ascii="宋体" w:hAnsi="宋体" w:hint="eastAsia"/>
          <w:kern w:val="0"/>
          <w:szCs w:val="21"/>
        </w:rPr>
        <w:t>（以二级学科为特色的专业学位课程）</w:t>
      </w:r>
    </w:p>
    <w:p w:rsidR="00CE6945" w:rsidRDefault="00CE6945">
      <w:pPr>
        <w:ind w:firstLine="840"/>
      </w:pPr>
      <w:r>
        <w:rPr>
          <w:rFonts w:hint="eastAsia"/>
        </w:rPr>
        <w:t>（</w:t>
      </w:r>
      <w:r>
        <w:t>4</w:t>
      </w:r>
      <w:r>
        <w:rPr>
          <w:rFonts w:hint="eastAsia"/>
        </w:rPr>
        <w:t>）</w:t>
      </w:r>
      <w:r>
        <w:t>D</w:t>
      </w:r>
      <w:r>
        <w:rPr>
          <w:rFonts w:hint="eastAsia"/>
        </w:rPr>
        <w:t>类选修课（其中跨一级学科选修不少于</w:t>
      </w:r>
      <w:r>
        <w:t>1</w:t>
      </w:r>
      <w:r>
        <w:rPr>
          <w:rFonts w:hint="eastAsia"/>
        </w:rPr>
        <w:t>门）</w:t>
      </w:r>
    </w:p>
    <w:p w:rsidR="00CE6945" w:rsidRDefault="00CE6945">
      <w:pPr>
        <w:widowControl/>
        <w:snapToGrid w:val="0"/>
        <w:ind w:left="420" w:firstLine="435"/>
        <w:rPr>
          <w:kern w:val="0"/>
          <w:szCs w:val="21"/>
        </w:rPr>
      </w:pPr>
      <w:r>
        <w:rPr>
          <w:rFonts w:ascii="宋体" w:hAnsi="宋体" w:hint="eastAsia"/>
          <w:kern w:val="0"/>
          <w:szCs w:val="21"/>
        </w:rPr>
        <w:t>为建立开放的课程体系，鼓励学生选修外校（原则上限定为首批“</w:t>
      </w:r>
      <w:r>
        <w:rPr>
          <w:kern w:val="0"/>
          <w:szCs w:val="21"/>
        </w:rPr>
        <w:t>985</w:t>
      </w:r>
      <w:r>
        <w:rPr>
          <w:rFonts w:ascii="宋体" w:hAnsi="宋体" w:hint="eastAsia"/>
          <w:kern w:val="0"/>
          <w:szCs w:val="21"/>
        </w:rPr>
        <w:t>”学校）学科专业课程，选修暑期学校（本校和外校中的首批“</w:t>
      </w:r>
      <w:r>
        <w:rPr>
          <w:kern w:val="0"/>
          <w:szCs w:val="21"/>
        </w:rPr>
        <w:t>985</w:t>
      </w:r>
      <w:r>
        <w:rPr>
          <w:rFonts w:ascii="宋体" w:hAnsi="宋体" w:hint="eastAsia"/>
          <w:kern w:val="0"/>
          <w:szCs w:val="21"/>
        </w:rPr>
        <w:t>”学校）课程，该课程作为</w:t>
      </w:r>
      <w:r>
        <w:rPr>
          <w:kern w:val="0"/>
          <w:szCs w:val="21"/>
        </w:rPr>
        <w:t>D</w:t>
      </w:r>
      <w:r>
        <w:rPr>
          <w:rFonts w:ascii="宋体" w:hAnsi="宋体" w:hint="eastAsia"/>
          <w:kern w:val="0"/>
          <w:szCs w:val="21"/>
        </w:rPr>
        <w:t>类课程，计入学分。</w:t>
      </w:r>
    </w:p>
    <w:p w:rsidR="00CE6945" w:rsidRDefault="00CE6945">
      <w:pPr>
        <w:widowControl/>
        <w:snapToGrid w:val="0"/>
        <w:ind w:firstLine="855"/>
        <w:rPr>
          <w:kern w:val="0"/>
          <w:szCs w:val="21"/>
        </w:rPr>
      </w:pPr>
      <w:r>
        <w:rPr>
          <w:rFonts w:ascii="宋体" w:hAnsi="宋体" w:hint="eastAsia"/>
          <w:kern w:val="0"/>
          <w:szCs w:val="21"/>
        </w:rPr>
        <w:t>来华留学硕士研究生课程：</w:t>
      </w:r>
    </w:p>
    <w:p w:rsidR="00CE6945" w:rsidRDefault="00CE6945">
      <w:pPr>
        <w:widowControl/>
        <w:snapToGrid w:val="0"/>
        <w:ind w:firstLine="855"/>
        <w:rPr>
          <w:kern w:val="0"/>
          <w:szCs w:val="21"/>
        </w:rPr>
      </w:pPr>
      <w:r>
        <w:rPr>
          <w:rFonts w:ascii="宋体" w:hAnsi="宋体" w:hint="eastAsia"/>
          <w:kern w:val="0"/>
          <w:szCs w:val="21"/>
        </w:rPr>
        <w:t>（</w:t>
      </w:r>
      <w:r>
        <w:rPr>
          <w:kern w:val="0"/>
          <w:szCs w:val="21"/>
        </w:rPr>
        <w:t>1</w:t>
      </w:r>
      <w:r>
        <w:rPr>
          <w:rFonts w:ascii="宋体" w:hAnsi="宋体" w:hint="eastAsia"/>
          <w:kern w:val="0"/>
          <w:szCs w:val="21"/>
        </w:rPr>
        <w:t>）中国概况（</w:t>
      </w:r>
      <w:r>
        <w:rPr>
          <w:kern w:val="0"/>
          <w:szCs w:val="21"/>
        </w:rPr>
        <w:t>3</w:t>
      </w:r>
      <w:r>
        <w:rPr>
          <w:rFonts w:ascii="宋体" w:hAnsi="宋体" w:hint="eastAsia"/>
          <w:kern w:val="0"/>
          <w:szCs w:val="21"/>
        </w:rPr>
        <w:t>学分）；</w:t>
      </w:r>
    </w:p>
    <w:p w:rsidR="00CE6945" w:rsidRDefault="00CE6945">
      <w:pPr>
        <w:widowControl/>
        <w:snapToGrid w:val="0"/>
        <w:ind w:left="420" w:firstLine="435"/>
        <w:rPr>
          <w:kern w:val="0"/>
          <w:szCs w:val="21"/>
        </w:rPr>
      </w:pPr>
      <w:r>
        <w:rPr>
          <w:rFonts w:ascii="宋体" w:hAnsi="宋体" w:hint="eastAsia"/>
          <w:kern w:val="0"/>
          <w:szCs w:val="21"/>
        </w:rPr>
        <w:t>（</w:t>
      </w:r>
      <w:r>
        <w:rPr>
          <w:kern w:val="0"/>
          <w:szCs w:val="21"/>
        </w:rPr>
        <w:t>2</w:t>
      </w:r>
      <w:r>
        <w:rPr>
          <w:rFonts w:ascii="宋体" w:hAnsi="宋体" w:hint="eastAsia"/>
          <w:kern w:val="0"/>
          <w:szCs w:val="21"/>
        </w:rPr>
        <w:t>）汉语课（</w:t>
      </w:r>
      <w:r>
        <w:rPr>
          <w:kern w:val="0"/>
          <w:szCs w:val="21"/>
        </w:rPr>
        <w:t>4</w:t>
      </w:r>
      <w:r>
        <w:rPr>
          <w:rFonts w:ascii="宋体" w:hAnsi="宋体" w:hint="eastAsia"/>
          <w:kern w:val="0"/>
          <w:szCs w:val="21"/>
        </w:rPr>
        <w:t>学分），以达到新ＨＳＫ</w:t>
      </w:r>
      <w:r>
        <w:rPr>
          <w:kern w:val="0"/>
          <w:szCs w:val="21"/>
        </w:rPr>
        <w:t>6</w:t>
      </w:r>
      <w:r>
        <w:rPr>
          <w:rFonts w:ascii="宋体" w:hAnsi="宋体" w:hint="eastAsia"/>
          <w:kern w:val="0"/>
          <w:szCs w:val="21"/>
        </w:rPr>
        <w:t>级为标准（经批准用英语进行研究的除外）；</w:t>
      </w:r>
    </w:p>
    <w:p w:rsidR="00CE6945" w:rsidRDefault="00CE6945">
      <w:pPr>
        <w:widowControl/>
        <w:snapToGrid w:val="0"/>
        <w:ind w:firstLine="855"/>
        <w:rPr>
          <w:kern w:val="0"/>
          <w:szCs w:val="21"/>
        </w:rPr>
      </w:pPr>
      <w:r>
        <w:rPr>
          <w:rFonts w:ascii="宋体" w:hAnsi="宋体" w:hint="eastAsia"/>
          <w:kern w:val="0"/>
          <w:szCs w:val="21"/>
        </w:rPr>
        <w:t>（</w:t>
      </w:r>
      <w:r>
        <w:rPr>
          <w:kern w:val="0"/>
          <w:szCs w:val="21"/>
        </w:rPr>
        <w:t>3</w:t>
      </w:r>
      <w:r>
        <w:rPr>
          <w:rFonts w:ascii="宋体" w:hAnsi="宋体" w:hint="eastAsia"/>
          <w:kern w:val="0"/>
          <w:szCs w:val="21"/>
        </w:rPr>
        <w:t>）其余同中国硕士研究生。</w:t>
      </w:r>
    </w:p>
    <w:p w:rsidR="00CE6945" w:rsidRDefault="00CE6945">
      <w:pPr>
        <w:rPr>
          <w:szCs w:val="24"/>
        </w:rPr>
      </w:pPr>
      <w:r>
        <w:rPr>
          <w:rFonts w:hint="eastAsia"/>
        </w:rPr>
        <w:t>四、硕士生培养</w:t>
      </w:r>
    </w:p>
    <w:p w:rsidR="00CE6945" w:rsidRDefault="00CE6945" w:rsidP="00064D23">
      <w:pPr>
        <w:ind w:firstLineChars="200" w:firstLine="420"/>
      </w:pPr>
      <w:r>
        <w:rPr>
          <w:rFonts w:hint="eastAsia"/>
        </w:rPr>
        <w:t>硕士生学习时间为</w:t>
      </w:r>
      <w:r>
        <w:t>3</w:t>
      </w:r>
      <w:r>
        <w:rPr>
          <w:rFonts w:hint="eastAsia"/>
        </w:rPr>
        <w:t>年，其中课程学习两年，撰写学位论文</w:t>
      </w:r>
      <w:r>
        <w:t>1</w:t>
      </w:r>
      <w:r>
        <w:rPr>
          <w:rFonts w:hint="eastAsia"/>
        </w:rPr>
        <w:t>年。</w:t>
      </w:r>
    </w:p>
    <w:p w:rsidR="00CE6945" w:rsidRDefault="00CE6945" w:rsidP="00064D23">
      <w:pPr>
        <w:ind w:firstLineChars="200" w:firstLine="420"/>
      </w:pPr>
      <w:r>
        <w:rPr>
          <w:rFonts w:hint="eastAsia"/>
        </w:rPr>
        <w:t>硕士生入学后不分专业，不定导师，实行年级导师负责制。第</w:t>
      </w:r>
      <w:r>
        <w:t>2</w:t>
      </w:r>
      <w:r>
        <w:rPr>
          <w:rFonts w:hint="eastAsia"/>
        </w:rPr>
        <w:t>学期初进行师生互选，进入专业（二级学科），制定培养计划。第三学期初进行中期考核，同时实施三级分流。</w:t>
      </w:r>
    </w:p>
    <w:p w:rsidR="00CE6945" w:rsidRDefault="00CE6945">
      <w:pPr>
        <w:numPr>
          <w:ilvl w:val="0"/>
          <w:numId w:val="4"/>
        </w:numPr>
      </w:pPr>
      <w:r>
        <w:rPr>
          <w:rFonts w:hint="eastAsia"/>
        </w:rPr>
        <w:t>师生互选</w:t>
      </w:r>
    </w:p>
    <w:p w:rsidR="00CE6945" w:rsidRDefault="00CE6945">
      <w:pPr>
        <w:ind w:firstLine="420"/>
      </w:pPr>
      <w:r>
        <w:rPr>
          <w:rFonts w:hint="eastAsia"/>
        </w:rPr>
        <w:t>院研究生办公室向硕士生介绍全系各专业及导师情况，发放师生互选表；硕士生选择适合指导自己学位论文的导师，专业按学生所选导师志愿的次序，同有关导师协商，以确定师生关系。师生关系确定后，由专业负责人签署意见后交院确认备案。</w:t>
      </w:r>
    </w:p>
    <w:p w:rsidR="00CE6945" w:rsidRDefault="00CE6945">
      <w:pPr>
        <w:ind w:firstLine="420"/>
      </w:pPr>
      <w:r>
        <w:rPr>
          <w:rFonts w:hint="eastAsia"/>
        </w:rPr>
        <w:t>“师生互选”原则上尊重教师和学生双方的志愿，但专业也可根据学科建设的需要和其他具体情况，对“互选”工作进行适度调整。</w:t>
      </w:r>
    </w:p>
    <w:p w:rsidR="00CE6945" w:rsidRDefault="00CE6945">
      <w:pPr>
        <w:numPr>
          <w:ilvl w:val="0"/>
          <w:numId w:val="4"/>
        </w:numPr>
      </w:pPr>
      <w:r>
        <w:rPr>
          <w:rFonts w:hint="eastAsia"/>
        </w:rPr>
        <w:t>制定培养计划</w:t>
      </w:r>
    </w:p>
    <w:p w:rsidR="00CE6945" w:rsidRDefault="00CE6945">
      <w:pPr>
        <w:widowControl/>
        <w:snapToGrid w:val="0"/>
        <w:ind w:left="420" w:firstLine="357"/>
        <w:rPr>
          <w:kern w:val="0"/>
          <w:szCs w:val="21"/>
        </w:rPr>
      </w:pPr>
      <w:r>
        <w:rPr>
          <w:rFonts w:ascii="宋体" w:hAnsi="宋体" w:hint="eastAsia"/>
          <w:kern w:val="0"/>
          <w:szCs w:val="21"/>
        </w:rPr>
        <w:t>硕士生第一学期的培养计划由院统一制定。第二学期在导师指导下制定“硕士生个人培养计划”，一式两份，一份由研究生自己保存，一份报院备案。培养计划到南京大学研究生院网页上下载，网址是：</w:t>
      </w:r>
      <w:hyperlink r:id="rId7" w:history="1">
        <w:r>
          <w:rPr>
            <w:rStyle w:val="a5"/>
            <w:rFonts w:cs="黑体"/>
            <w:kern w:val="0"/>
            <w:szCs w:val="21"/>
          </w:rPr>
          <w:t>http://grawww.nju.edu.cn/content/py.asp</w:t>
        </w:r>
      </w:hyperlink>
      <w:r>
        <w:rPr>
          <w:kern w:val="0"/>
          <w:szCs w:val="21"/>
        </w:rPr>
        <w:t xml:space="preserve"> </w:t>
      </w:r>
      <w:r>
        <w:rPr>
          <w:rFonts w:hint="eastAsia"/>
          <w:kern w:val="0"/>
          <w:szCs w:val="21"/>
        </w:rPr>
        <w:t>。</w:t>
      </w:r>
    </w:p>
    <w:p w:rsidR="00CE6945" w:rsidRDefault="00CE6945">
      <w:pPr>
        <w:numPr>
          <w:ilvl w:val="0"/>
          <w:numId w:val="4"/>
        </w:numPr>
        <w:rPr>
          <w:szCs w:val="24"/>
        </w:rPr>
      </w:pPr>
      <w:r>
        <w:rPr>
          <w:rFonts w:hint="eastAsia"/>
        </w:rPr>
        <w:t>中期考核</w:t>
      </w:r>
    </w:p>
    <w:p w:rsidR="00CE6945" w:rsidRDefault="00CE6945">
      <w:pPr>
        <w:ind w:left="360"/>
      </w:pPr>
      <w:r>
        <w:rPr>
          <w:rFonts w:hint="eastAsia"/>
        </w:rPr>
        <w:t>加强研究生管理，提高研究生培养质量，选拔优秀硕士生提前攻读博士学位，实行研究生中期考核制；院研究生办公室将按照研究生培养方案，在德智体诸方面进行全面考核。</w:t>
      </w:r>
    </w:p>
    <w:p w:rsidR="00CE6945" w:rsidRDefault="00CE6945">
      <w:pPr>
        <w:ind w:left="360" w:firstLine="435"/>
      </w:pPr>
      <w:r>
        <w:rPr>
          <w:rFonts w:hint="eastAsia"/>
        </w:rPr>
        <w:t>具体办法：</w:t>
      </w:r>
    </w:p>
    <w:p w:rsidR="00CE6945" w:rsidRDefault="00CE6945">
      <w:pPr>
        <w:ind w:left="420" w:firstLine="420"/>
      </w:pPr>
      <w:r>
        <w:t>A.</w:t>
      </w:r>
      <w:r>
        <w:rPr>
          <w:rFonts w:hint="eastAsia"/>
        </w:rPr>
        <w:t>考核在考核领导小组领导下进行，由各专业负责实施，组成包括导师、主要任课教师在内的若干考核小组（每组成员不少于</w:t>
      </w:r>
      <w:r>
        <w:t>3</w:t>
      </w:r>
      <w:r>
        <w:rPr>
          <w:rFonts w:hint="eastAsia"/>
        </w:rPr>
        <w:t>人）进行考核，同时听取其他教师的意见。</w:t>
      </w:r>
    </w:p>
    <w:p w:rsidR="00CE6945" w:rsidRDefault="00CE6945">
      <w:pPr>
        <w:ind w:left="420" w:firstLine="420"/>
      </w:pPr>
      <w:r>
        <w:t>B</w:t>
      </w:r>
      <w:r>
        <w:rPr>
          <w:rFonts w:hint="eastAsia"/>
        </w:rPr>
        <w:t>．业务方面主要考核研究生课程学习是否达到规定要求，以及通过课程学习体现出的科研能力和思维能力；政治、思想、品德方面的考核由院学生工作组会同有关人员进行。</w:t>
      </w:r>
    </w:p>
    <w:p w:rsidR="00CE6945" w:rsidRDefault="00CE6945">
      <w:pPr>
        <w:widowControl/>
        <w:snapToGrid w:val="0"/>
        <w:ind w:left="420" w:firstLine="357"/>
        <w:rPr>
          <w:kern w:val="0"/>
          <w:szCs w:val="21"/>
        </w:rPr>
      </w:pPr>
      <w:r>
        <w:rPr>
          <w:rFonts w:hint="eastAsia"/>
        </w:rPr>
        <w:t>Ｃ</w:t>
      </w:r>
      <w:r>
        <w:t>.</w:t>
      </w:r>
      <w:r>
        <w:rPr>
          <w:rFonts w:hint="eastAsia"/>
        </w:rPr>
        <w:t>填写“南京大学攻读硕士学位研究生培养计划”，对被考核研究生做出结论性意见。中期考核因学习进度未通过者，按规定延期。</w:t>
      </w:r>
    </w:p>
    <w:p w:rsidR="00CE6945" w:rsidRDefault="00CE6945">
      <w:pPr>
        <w:ind w:left="420"/>
      </w:pPr>
      <w:r>
        <w:rPr>
          <w:rFonts w:hint="eastAsia"/>
        </w:rPr>
        <w:t>中期考核安排在第三学期初进行。</w:t>
      </w:r>
    </w:p>
    <w:p w:rsidR="00CE6945" w:rsidRDefault="00CE6945">
      <w:pPr>
        <w:numPr>
          <w:ilvl w:val="0"/>
          <w:numId w:val="4"/>
        </w:numPr>
      </w:pPr>
      <w:r>
        <w:rPr>
          <w:rFonts w:hint="eastAsia"/>
        </w:rPr>
        <w:t>中期分流</w:t>
      </w:r>
    </w:p>
    <w:p w:rsidR="00CE6945" w:rsidRDefault="00CE6945">
      <w:pPr>
        <w:ind w:left="360"/>
      </w:pPr>
      <w:r>
        <w:rPr>
          <w:rFonts w:hint="eastAsia"/>
        </w:rPr>
        <w:t>经过中期考核的硕士研究生，按考核成绩分为</w:t>
      </w:r>
      <w:r>
        <w:t>3</w:t>
      </w:r>
      <w:r>
        <w:rPr>
          <w:rFonts w:hint="eastAsia"/>
        </w:rPr>
        <w:t>种流向：（</w:t>
      </w:r>
      <w:r>
        <w:t>1</w:t>
      </w:r>
      <w:r>
        <w:rPr>
          <w:rFonts w:hint="eastAsia"/>
        </w:rPr>
        <w:t>）硕</w:t>
      </w:r>
      <w:r>
        <w:t>—</w:t>
      </w:r>
      <w:r>
        <w:rPr>
          <w:rFonts w:hint="eastAsia"/>
        </w:rPr>
        <w:t>博连读或提前攻博；（</w:t>
      </w:r>
      <w:r>
        <w:t>2</w:t>
      </w:r>
      <w:r>
        <w:rPr>
          <w:rFonts w:hint="eastAsia"/>
        </w:rPr>
        <w:t>）进入硕士论文阶段；（</w:t>
      </w:r>
      <w:r>
        <w:t>3</w:t>
      </w:r>
      <w:r>
        <w:rPr>
          <w:rFonts w:hint="eastAsia"/>
        </w:rPr>
        <w:t>）终止学业。</w:t>
      </w:r>
    </w:p>
    <w:p w:rsidR="00CE6945" w:rsidRDefault="00CE6945">
      <w:pPr>
        <w:numPr>
          <w:ilvl w:val="0"/>
          <w:numId w:val="4"/>
        </w:numPr>
      </w:pPr>
      <w:r>
        <w:rPr>
          <w:rFonts w:hint="eastAsia"/>
        </w:rPr>
        <w:t>论文答辩</w:t>
      </w:r>
    </w:p>
    <w:p w:rsidR="00CE6945" w:rsidRDefault="00CE6945">
      <w:pPr>
        <w:numPr>
          <w:ilvl w:val="1"/>
          <w:numId w:val="4"/>
        </w:numPr>
      </w:pPr>
      <w:r>
        <w:rPr>
          <w:rFonts w:hint="eastAsia"/>
        </w:rPr>
        <w:t>开题报告</w:t>
      </w:r>
    </w:p>
    <w:p w:rsidR="00CE6945" w:rsidRDefault="00CE6945">
      <w:pPr>
        <w:ind w:left="420"/>
      </w:pPr>
      <w:r>
        <w:rPr>
          <w:rFonts w:hint="eastAsia"/>
        </w:rPr>
        <w:t>硕士生学位论文开题时间放在第三学期初，可与中期考核同时进行。由各专业（二级学科）组织实施。专业应对硕士生论文选题的可行性进行论证，以保证学位论文按时完成。</w:t>
      </w:r>
    </w:p>
    <w:p w:rsidR="00CE6945" w:rsidRDefault="00CE6945">
      <w:pPr>
        <w:widowControl/>
        <w:snapToGrid w:val="0"/>
        <w:ind w:firstLine="840"/>
        <w:rPr>
          <w:kern w:val="0"/>
          <w:szCs w:val="21"/>
        </w:rPr>
      </w:pPr>
      <w:r>
        <w:rPr>
          <w:rFonts w:hint="eastAsia"/>
          <w:kern w:val="0"/>
          <w:szCs w:val="21"/>
        </w:rPr>
        <w:t>（</w:t>
      </w:r>
      <w:r>
        <w:rPr>
          <w:kern w:val="0"/>
          <w:szCs w:val="21"/>
        </w:rPr>
        <w:t>2</w:t>
      </w:r>
      <w:r>
        <w:rPr>
          <w:rFonts w:ascii="宋体" w:hAnsi="宋体" w:hint="eastAsia"/>
          <w:kern w:val="0"/>
          <w:szCs w:val="21"/>
        </w:rPr>
        <w:t>）论文评阅与答辩</w:t>
      </w:r>
    </w:p>
    <w:p w:rsidR="00CE6945" w:rsidRDefault="00CE6945">
      <w:pPr>
        <w:widowControl/>
        <w:snapToGrid w:val="0"/>
        <w:ind w:left="420" w:firstLine="435"/>
        <w:rPr>
          <w:kern w:val="0"/>
          <w:szCs w:val="21"/>
        </w:rPr>
      </w:pPr>
      <w:r>
        <w:rPr>
          <w:rFonts w:ascii="宋体" w:hAnsi="宋体" w:hint="eastAsia"/>
          <w:kern w:val="0"/>
          <w:szCs w:val="21"/>
        </w:rPr>
        <w:t>硕士研究生按照培养计划的要求，修满规定学分，且成绩合格，论文撰写达到导师和专业要求，方可进行论文答辩。</w:t>
      </w:r>
    </w:p>
    <w:p w:rsidR="00CE6945" w:rsidRDefault="00CE6945">
      <w:pPr>
        <w:widowControl/>
        <w:snapToGrid w:val="0"/>
        <w:ind w:left="420" w:firstLine="435"/>
        <w:rPr>
          <w:kern w:val="0"/>
          <w:szCs w:val="21"/>
        </w:rPr>
      </w:pPr>
      <w:r>
        <w:rPr>
          <w:rFonts w:ascii="宋体" w:hAnsi="宋体" w:hint="eastAsia"/>
          <w:kern w:val="0"/>
          <w:szCs w:val="21"/>
        </w:rPr>
        <w:lastRenderedPageBreak/>
        <w:t>硕士论文答辩由硕士生所在专业（二级学科）组织。专业指定专人做答辩秘书。答辩秘书负责领取、交送答辩材料。专业应为每位学位申请人聘请</w:t>
      </w:r>
      <w:r>
        <w:rPr>
          <w:kern w:val="0"/>
          <w:szCs w:val="21"/>
        </w:rPr>
        <w:t>1</w:t>
      </w:r>
      <w:r>
        <w:rPr>
          <w:rFonts w:ascii="宋体" w:hAnsi="宋体" w:hint="eastAsia"/>
          <w:kern w:val="0"/>
          <w:szCs w:val="21"/>
        </w:rPr>
        <w:t>－</w:t>
      </w:r>
      <w:r>
        <w:rPr>
          <w:kern w:val="0"/>
          <w:szCs w:val="21"/>
        </w:rPr>
        <w:t>2</w:t>
      </w:r>
      <w:r>
        <w:rPr>
          <w:rFonts w:ascii="宋体" w:hAnsi="宋体" w:hint="eastAsia"/>
          <w:kern w:val="0"/>
          <w:szCs w:val="21"/>
        </w:rPr>
        <w:t>位与论文有关的专家评阅论文，组成３－５人的论文答辩委员会。答辩委员会主</w:t>
      </w:r>
      <w:smartTag w:uri="urn:schemas-microsoft-com:office:smarttags" w:element="PersonName">
        <w:smartTagPr>
          <w:attr w:name="ProductID" w:val="席由副"/>
        </w:smartTagPr>
        <w:r>
          <w:rPr>
            <w:rFonts w:ascii="宋体" w:hAnsi="宋体" w:hint="eastAsia"/>
            <w:kern w:val="0"/>
            <w:szCs w:val="21"/>
          </w:rPr>
          <w:t>席由副</w:t>
        </w:r>
      </w:smartTag>
      <w:r>
        <w:rPr>
          <w:rFonts w:ascii="宋体" w:hAnsi="宋体" w:hint="eastAsia"/>
          <w:kern w:val="0"/>
          <w:szCs w:val="21"/>
        </w:rPr>
        <w:t>教授、教授或相当专家担任。</w:t>
      </w:r>
    </w:p>
    <w:p w:rsidR="00CE6945" w:rsidRDefault="00CE6945">
      <w:pPr>
        <w:widowControl/>
        <w:snapToGrid w:val="0"/>
        <w:ind w:left="420" w:firstLine="435"/>
        <w:rPr>
          <w:kern w:val="0"/>
          <w:szCs w:val="21"/>
        </w:rPr>
      </w:pPr>
      <w:r>
        <w:rPr>
          <w:rFonts w:ascii="宋体" w:hAnsi="宋体" w:hint="eastAsia"/>
          <w:kern w:val="0"/>
          <w:szCs w:val="21"/>
        </w:rPr>
        <w:t>硕士学位论文答辩不合格者，经论文答辩委员会同意，可在</w:t>
      </w:r>
      <w:r>
        <w:rPr>
          <w:kern w:val="0"/>
          <w:szCs w:val="21"/>
        </w:rPr>
        <w:t>1</w:t>
      </w:r>
      <w:r>
        <w:rPr>
          <w:rFonts w:ascii="宋体" w:hAnsi="宋体" w:hint="eastAsia"/>
          <w:kern w:val="0"/>
          <w:szCs w:val="21"/>
        </w:rPr>
        <w:t>年内修改论文，重新答辩一次。</w:t>
      </w:r>
    </w:p>
    <w:p w:rsidR="00CE6945" w:rsidRDefault="00CE6945">
      <w:pPr>
        <w:rPr>
          <w:szCs w:val="24"/>
        </w:rPr>
      </w:pPr>
    </w:p>
    <w:p w:rsidR="00CE6945" w:rsidRDefault="00CE6945"/>
    <w:p w:rsidR="00CE6945" w:rsidRPr="000138C6" w:rsidRDefault="00CE6945">
      <w:pPr>
        <w:rPr>
          <w:rFonts w:ascii="黑体" w:eastAsia="黑体" w:hAnsi="黑体"/>
          <w:sz w:val="24"/>
          <w:szCs w:val="24"/>
        </w:rPr>
      </w:pPr>
      <w:r w:rsidRPr="000138C6">
        <w:rPr>
          <w:rFonts w:ascii="黑体" w:eastAsia="黑体" w:hAnsi="黑体" w:hint="eastAsia"/>
          <w:sz w:val="24"/>
          <w:szCs w:val="24"/>
        </w:rPr>
        <w:t>博士</w:t>
      </w:r>
    </w:p>
    <w:p w:rsidR="00CE6945" w:rsidRDefault="00CE6945"/>
    <w:p w:rsidR="00CE6945" w:rsidRDefault="00CE6945">
      <w:pPr>
        <w:numPr>
          <w:ilvl w:val="0"/>
          <w:numId w:val="5"/>
        </w:numPr>
      </w:pPr>
      <w:r>
        <w:rPr>
          <w:rFonts w:hint="eastAsia"/>
        </w:rPr>
        <w:t>博士生培养目标</w:t>
      </w:r>
    </w:p>
    <w:p w:rsidR="00CE6945" w:rsidRDefault="00CE6945">
      <w:r>
        <w:rPr>
          <w:rFonts w:hint="eastAsia"/>
        </w:rPr>
        <w:t>德智体全面发展，在本学科范围内掌握坚实和宽广的基础理论和系统深入的专门知识，熟练掌握一门外国语，具有独立从事科学研究的能力，具备在本学科或相近学科从事创造性工作的高级专门人才。</w:t>
      </w:r>
    </w:p>
    <w:p w:rsidR="00CE6945" w:rsidRDefault="00CE6945">
      <w:pPr>
        <w:numPr>
          <w:ilvl w:val="0"/>
          <w:numId w:val="5"/>
        </w:numPr>
      </w:pPr>
      <w:r>
        <w:rPr>
          <w:rFonts w:hint="eastAsia"/>
        </w:rPr>
        <w:t>博士生招生（申请－考核制）</w:t>
      </w:r>
    </w:p>
    <w:p w:rsidR="00CE6945" w:rsidRDefault="00CE6945">
      <w:pPr>
        <w:ind w:left="420"/>
      </w:pPr>
      <w:smartTag w:uri="urn:schemas-microsoft-com:office:smarttags" w:element="PersonName">
        <w:smartTagPr>
          <w:attr w:name="ProductID" w:val="符合"/>
        </w:smartTagPr>
        <w:r>
          <w:rPr>
            <w:rFonts w:hint="eastAsia"/>
          </w:rPr>
          <w:t>符合</w:t>
        </w:r>
      </w:smartTag>
      <w:r>
        <w:rPr>
          <w:rFonts w:hint="eastAsia"/>
        </w:rPr>
        <w:t>博士生申请考核制报名条件，参加文学院考试，考试成绩合格并进入当年招生计划范围内的考生，思想表现审查合格者，可录取为当年博士研究生</w:t>
      </w:r>
    </w:p>
    <w:p w:rsidR="00CE6945" w:rsidRDefault="00CE6945">
      <w:r>
        <w:rPr>
          <w:rFonts w:hint="eastAsia"/>
        </w:rPr>
        <w:t>（一）考试</w:t>
      </w:r>
    </w:p>
    <w:p w:rsidR="00CE6945" w:rsidRDefault="00CE6945">
      <w:pPr>
        <w:ind w:left="405"/>
      </w:pPr>
      <w:r>
        <w:rPr>
          <w:rFonts w:hint="eastAsia"/>
        </w:rPr>
        <w:t>１、笔试</w:t>
      </w:r>
      <w:r>
        <w:t xml:space="preserve">  </w:t>
      </w:r>
      <w:r>
        <w:rPr>
          <w:rFonts w:hint="eastAsia"/>
        </w:rPr>
        <w:t>由文学院组织，闭卷考试。</w:t>
      </w:r>
    </w:p>
    <w:p w:rsidR="00CE6945" w:rsidRDefault="00CE6945">
      <w:pPr>
        <w:ind w:left="405"/>
      </w:pPr>
      <w:r>
        <w:rPr>
          <w:rFonts w:hint="eastAsia"/>
        </w:rPr>
        <w:t>专业基础，满分</w:t>
      </w:r>
      <w:r>
        <w:t>100</w:t>
      </w:r>
      <w:r>
        <w:rPr>
          <w:rFonts w:hint="eastAsia"/>
        </w:rPr>
        <w:t>分。</w:t>
      </w:r>
    </w:p>
    <w:p w:rsidR="00CE6945" w:rsidRDefault="00CE6945">
      <w:pPr>
        <w:ind w:left="405"/>
      </w:pPr>
      <w:r>
        <w:rPr>
          <w:rFonts w:hint="eastAsia"/>
        </w:rPr>
        <w:t>专业外语，笔译，满分</w:t>
      </w:r>
      <w:r>
        <w:t>50</w:t>
      </w:r>
      <w:r>
        <w:rPr>
          <w:rFonts w:hint="eastAsia"/>
        </w:rPr>
        <w:t>分。</w:t>
      </w:r>
    </w:p>
    <w:p w:rsidR="00CE6945" w:rsidRDefault="00CE6945">
      <w:pPr>
        <w:pStyle w:val="1"/>
        <w:ind w:left="420" w:firstLineChars="0" w:firstLine="0"/>
      </w:pPr>
      <w:r>
        <w:t>2</w:t>
      </w:r>
      <w:r>
        <w:rPr>
          <w:rFonts w:hint="eastAsia"/>
        </w:rPr>
        <w:t>、口头报告，满分</w:t>
      </w:r>
      <w:r>
        <w:t>100</w:t>
      </w:r>
      <w:r>
        <w:rPr>
          <w:rFonts w:hint="eastAsia"/>
        </w:rPr>
        <w:t>分。</w:t>
      </w:r>
    </w:p>
    <w:p w:rsidR="00CE6945" w:rsidRDefault="00CE6945">
      <w:pPr>
        <w:ind w:left="405"/>
      </w:pPr>
      <w:r>
        <w:rPr>
          <w:rFonts w:hint="eastAsia"/>
        </w:rPr>
        <w:t>考生笔试、口头报告成绩累加，择优确定参加导师面试资格人选</w:t>
      </w:r>
    </w:p>
    <w:p w:rsidR="00CE6945" w:rsidRDefault="00CE6945">
      <w:pPr>
        <w:ind w:left="405"/>
      </w:pPr>
      <w:r>
        <w:t>3</w:t>
      </w:r>
      <w:r>
        <w:rPr>
          <w:rFonts w:hint="eastAsia"/>
        </w:rPr>
        <w:t>、导师面试，满分</w:t>
      </w:r>
      <w:r>
        <w:t>100</w:t>
      </w:r>
      <w:r>
        <w:rPr>
          <w:rFonts w:hint="eastAsia"/>
        </w:rPr>
        <w:t>分。</w:t>
      </w:r>
    </w:p>
    <w:p w:rsidR="00CE6945" w:rsidRDefault="00CE6945">
      <w:pPr>
        <w:ind w:left="405"/>
      </w:pPr>
    </w:p>
    <w:p w:rsidR="00CE6945" w:rsidRDefault="00CE6945">
      <w:pPr>
        <w:ind w:left="405"/>
      </w:pPr>
      <w:r>
        <w:rPr>
          <w:rFonts w:hint="eastAsia"/>
        </w:rPr>
        <w:t>（二）录取</w:t>
      </w:r>
    </w:p>
    <w:p w:rsidR="00CE6945" w:rsidRDefault="00CE6945">
      <w:pPr>
        <w:ind w:left="405"/>
      </w:pPr>
      <w:r>
        <w:rPr>
          <w:rFonts w:hint="eastAsia"/>
        </w:rPr>
        <w:t>综合考生全部考核结果，决定录取名单，上报研究生院。</w:t>
      </w:r>
    </w:p>
    <w:p w:rsidR="00CE6945" w:rsidRDefault="00CE6945">
      <w:pPr>
        <w:ind w:left="420"/>
        <w:rPr>
          <w:color w:val="FF0000"/>
        </w:rPr>
      </w:pPr>
    </w:p>
    <w:p w:rsidR="00CE6945" w:rsidRDefault="00CE6945">
      <w:pPr>
        <w:numPr>
          <w:ilvl w:val="0"/>
          <w:numId w:val="5"/>
        </w:numPr>
      </w:pPr>
      <w:r>
        <w:rPr>
          <w:rFonts w:hint="eastAsia"/>
        </w:rPr>
        <w:t>博士生培养</w:t>
      </w:r>
    </w:p>
    <w:p w:rsidR="00CE6945" w:rsidRDefault="00CE6945">
      <w:r>
        <w:rPr>
          <w:rFonts w:hint="eastAsia"/>
        </w:rPr>
        <w:t>（一）、学习年限</w:t>
      </w:r>
    </w:p>
    <w:p w:rsidR="00CE6945" w:rsidRDefault="00CE6945">
      <w:pPr>
        <w:ind w:firstLine="420"/>
      </w:pPr>
      <w:r>
        <w:rPr>
          <w:rFonts w:hint="eastAsia"/>
        </w:rPr>
        <w:t>博士研究生的学习时间为</w:t>
      </w:r>
      <w:r>
        <w:t>3</w:t>
      </w:r>
      <w:r>
        <w:rPr>
          <w:rFonts w:hint="eastAsia"/>
        </w:rPr>
        <w:t>－８年（在职博士生为</w:t>
      </w:r>
      <w:r>
        <w:t>4</w:t>
      </w:r>
      <w:r>
        <w:rPr>
          <w:rFonts w:hint="eastAsia"/>
        </w:rPr>
        <w:t>－８年）。</w:t>
      </w:r>
    </w:p>
    <w:p w:rsidR="00CE6945" w:rsidRDefault="00CE6945">
      <w:r>
        <w:rPr>
          <w:rFonts w:hint="eastAsia"/>
        </w:rPr>
        <w:t>（二）、制定培养计划</w:t>
      </w:r>
    </w:p>
    <w:p w:rsidR="00CE6945" w:rsidRDefault="00CE6945">
      <w:pPr>
        <w:ind w:firstLine="420"/>
      </w:pPr>
      <w:r>
        <w:rPr>
          <w:rFonts w:hint="eastAsia"/>
        </w:rPr>
        <w:t>博士生培养实行导师领导下的博士生指导小组负责制。博士生指导小组由指导教师和具有副高以上职称或已取得博士学位的教师</w:t>
      </w:r>
      <w:r>
        <w:t>3-5</w:t>
      </w:r>
      <w:r>
        <w:rPr>
          <w:rFonts w:hint="eastAsia"/>
        </w:rPr>
        <w:t>人组成，其中一人为相邻专业的教师，导师担任指导小组组长。</w:t>
      </w:r>
    </w:p>
    <w:p w:rsidR="00CE6945" w:rsidRDefault="00CE6945">
      <w:pPr>
        <w:ind w:firstLine="420"/>
      </w:pPr>
      <w:r>
        <w:rPr>
          <w:rFonts w:hint="eastAsia"/>
        </w:rPr>
        <w:t>博士研究生培养计划应在导师指导下由博士生本人填写，在第一学期末完成，一式两份，一份由学生自己保存，一份交院系备案。培养计划中应体现出具体培养措施。</w:t>
      </w:r>
    </w:p>
    <w:p w:rsidR="00CE6945" w:rsidRDefault="00CE6945">
      <w:r>
        <w:rPr>
          <w:rFonts w:hint="eastAsia"/>
        </w:rPr>
        <w:t>（三）、课程设置</w:t>
      </w:r>
    </w:p>
    <w:p w:rsidR="00CE6945" w:rsidRDefault="00CE6945">
      <w:pPr>
        <w:widowControl/>
        <w:snapToGrid w:val="0"/>
        <w:ind w:firstLine="840"/>
        <w:rPr>
          <w:kern w:val="0"/>
          <w:szCs w:val="21"/>
        </w:rPr>
      </w:pPr>
      <w:r>
        <w:rPr>
          <w:rFonts w:ascii="宋体" w:hAnsi="宋体" w:hint="eastAsia"/>
          <w:kern w:val="0"/>
          <w:szCs w:val="21"/>
        </w:rPr>
        <w:t>博士生课程：</w:t>
      </w:r>
    </w:p>
    <w:p w:rsidR="00CE6945" w:rsidRDefault="00CE6945">
      <w:pPr>
        <w:widowControl/>
        <w:snapToGrid w:val="0"/>
        <w:ind w:firstLine="840"/>
        <w:rPr>
          <w:kern w:val="0"/>
          <w:szCs w:val="21"/>
        </w:rPr>
      </w:pPr>
      <w:r>
        <w:rPr>
          <w:rFonts w:ascii="宋体" w:hAnsi="宋体" w:hint="eastAsia"/>
          <w:kern w:val="0"/>
          <w:szCs w:val="21"/>
        </w:rPr>
        <w:t>（</w:t>
      </w:r>
      <w:r>
        <w:rPr>
          <w:kern w:val="0"/>
          <w:szCs w:val="21"/>
        </w:rPr>
        <w:t>1</w:t>
      </w:r>
      <w:r>
        <w:rPr>
          <w:rFonts w:ascii="宋体" w:hAnsi="宋体" w:hint="eastAsia"/>
          <w:kern w:val="0"/>
          <w:szCs w:val="21"/>
        </w:rPr>
        <w:t>）马克思主义与当代；</w:t>
      </w:r>
    </w:p>
    <w:p w:rsidR="00CE6945" w:rsidRDefault="00CE6945">
      <w:pPr>
        <w:widowControl/>
        <w:snapToGrid w:val="0"/>
        <w:ind w:firstLine="840"/>
        <w:rPr>
          <w:kern w:val="0"/>
          <w:szCs w:val="21"/>
        </w:rPr>
      </w:pPr>
      <w:r>
        <w:rPr>
          <w:rFonts w:ascii="宋体" w:hAnsi="宋体" w:hint="eastAsia"/>
          <w:kern w:val="0"/>
          <w:szCs w:val="21"/>
        </w:rPr>
        <w:t>（</w:t>
      </w:r>
      <w:r>
        <w:rPr>
          <w:kern w:val="0"/>
          <w:szCs w:val="21"/>
        </w:rPr>
        <w:t>2</w:t>
      </w:r>
      <w:r>
        <w:rPr>
          <w:rFonts w:ascii="宋体" w:hAnsi="宋体" w:hint="eastAsia"/>
          <w:kern w:val="0"/>
          <w:szCs w:val="21"/>
        </w:rPr>
        <w:t>）外语；</w:t>
      </w:r>
    </w:p>
    <w:p w:rsidR="00CE6945" w:rsidRDefault="00CE6945">
      <w:pPr>
        <w:widowControl/>
        <w:snapToGrid w:val="0"/>
        <w:ind w:firstLine="840"/>
        <w:rPr>
          <w:kern w:val="0"/>
          <w:szCs w:val="21"/>
        </w:rPr>
      </w:pPr>
      <w:r>
        <w:rPr>
          <w:rFonts w:ascii="宋体" w:hAnsi="宋体" w:hint="eastAsia"/>
          <w:kern w:val="0"/>
          <w:szCs w:val="21"/>
        </w:rPr>
        <w:t>（</w:t>
      </w:r>
      <w:r>
        <w:rPr>
          <w:kern w:val="0"/>
          <w:szCs w:val="21"/>
        </w:rPr>
        <w:t>3</w:t>
      </w:r>
      <w:r>
        <w:rPr>
          <w:rFonts w:ascii="宋体" w:hAnsi="宋体" w:hint="eastAsia"/>
          <w:kern w:val="0"/>
          <w:szCs w:val="21"/>
        </w:rPr>
        <w:t>）专业课。</w:t>
      </w:r>
    </w:p>
    <w:p w:rsidR="00CE6945" w:rsidRDefault="00CE6945" w:rsidP="00064D23">
      <w:pPr>
        <w:widowControl/>
        <w:snapToGrid w:val="0"/>
        <w:ind w:firstLineChars="200" w:firstLine="420"/>
        <w:rPr>
          <w:kern w:val="0"/>
          <w:szCs w:val="21"/>
        </w:rPr>
      </w:pPr>
      <w:smartTag w:uri="urn:schemas-microsoft-com:office:smarttags" w:element="PersonName">
        <w:smartTagPr>
          <w:attr w:name="ProductID" w:val="文学院"/>
        </w:smartTagPr>
        <w:r>
          <w:rPr>
            <w:rFonts w:ascii="宋体" w:hAnsi="宋体" w:hint="eastAsia"/>
            <w:kern w:val="0"/>
            <w:szCs w:val="21"/>
          </w:rPr>
          <w:t>文学院</w:t>
        </w:r>
      </w:smartTag>
      <w:r>
        <w:rPr>
          <w:rFonts w:ascii="宋体" w:hAnsi="宋体" w:hint="eastAsia"/>
          <w:kern w:val="0"/>
          <w:szCs w:val="21"/>
        </w:rPr>
        <w:t>博士生专业课程共设约</w:t>
      </w:r>
      <w:r>
        <w:rPr>
          <w:kern w:val="0"/>
          <w:szCs w:val="21"/>
        </w:rPr>
        <w:t>40</w:t>
      </w:r>
      <w:r>
        <w:rPr>
          <w:rFonts w:ascii="宋体" w:hAnsi="宋体" w:hint="eastAsia"/>
          <w:kern w:val="0"/>
          <w:szCs w:val="21"/>
        </w:rPr>
        <w:t>门（原则上每位博士生导师开一门），由博士生在导师指导下选修</w:t>
      </w:r>
      <w:r>
        <w:rPr>
          <w:kern w:val="0"/>
          <w:szCs w:val="21"/>
        </w:rPr>
        <w:t>5</w:t>
      </w:r>
      <w:r>
        <w:rPr>
          <w:rFonts w:ascii="宋体" w:hAnsi="宋体" w:hint="eastAsia"/>
          <w:kern w:val="0"/>
          <w:szCs w:val="21"/>
        </w:rPr>
        <w:t>门。其中</w:t>
      </w:r>
      <w:r>
        <w:rPr>
          <w:kern w:val="0"/>
          <w:szCs w:val="21"/>
        </w:rPr>
        <w:t>2</w:t>
      </w:r>
      <w:r>
        <w:rPr>
          <w:rFonts w:ascii="宋体" w:hAnsi="宋体" w:hint="eastAsia"/>
          <w:kern w:val="0"/>
          <w:szCs w:val="21"/>
        </w:rPr>
        <w:t>－</w:t>
      </w:r>
      <w:r>
        <w:rPr>
          <w:kern w:val="0"/>
          <w:szCs w:val="21"/>
        </w:rPr>
        <w:t>3</w:t>
      </w:r>
      <w:r>
        <w:rPr>
          <w:rFonts w:ascii="宋体" w:hAnsi="宋体" w:hint="eastAsia"/>
          <w:kern w:val="0"/>
          <w:szCs w:val="21"/>
        </w:rPr>
        <w:t>门为主修，</w:t>
      </w:r>
      <w:r>
        <w:rPr>
          <w:kern w:val="0"/>
          <w:szCs w:val="21"/>
        </w:rPr>
        <w:t>2</w:t>
      </w:r>
      <w:r>
        <w:rPr>
          <w:rFonts w:ascii="宋体" w:hAnsi="宋体" w:hint="eastAsia"/>
          <w:kern w:val="0"/>
          <w:szCs w:val="21"/>
        </w:rPr>
        <w:t>－</w:t>
      </w:r>
      <w:r>
        <w:rPr>
          <w:kern w:val="0"/>
          <w:szCs w:val="21"/>
        </w:rPr>
        <w:t>3</w:t>
      </w:r>
      <w:r>
        <w:rPr>
          <w:rFonts w:ascii="宋体" w:hAnsi="宋体" w:hint="eastAsia"/>
          <w:kern w:val="0"/>
          <w:szCs w:val="21"/>
        </w:rPr>
        <w:t>门为辅修。辅修课为跨二级学科课程。来</w:t>
      </w:r>
      <w:smartTag w:uri="urn:schemas-microsoft-com:office:smarttags" w:element="PersonName">
        <w:smartTagPr>
          <w:attr w:name="ProductID" w:val="华留学"/>
        </w:smartTagPr>
        <w:r>
          <w:rPr>
            <w:rFonts w:ascii="宋体" w:hAnsi="宋体" w:hint="eastAsia"/>
            <w:kern w:val="0"/>
            <w:szCs w:val="21"/>
          </w:rPr>
          <w:t>华留学</w:t>
        </w:r>
      </w:smartTag>
      <w:r>
        <w:rPr>
          <w:rFonts w:ascii="宋体" w:hAnsi="宋体" w:hint="eastAsia"/>
          <w:kern w:val="0"/>
          <w:szCs w:val="21"/>
        </w:rPr>
        <w:t>博士研究生课程包括：</w:t>
      </w:r>
    </w:p>
    <w:p w:rsidR="00CE6945" w:rsidRDefault="00CE6945">
      <w:pPr>
        <w:widowControl/>
        <w:snapToGrid w:val="0"/>
        <w:ind w:firstLine="840"/>
        <w:rPr>
          <w:kern w:val="0"/>
          <w:szCs w:val="21"/>
        </w:rPr>
      </w:pPr>
      <w:r>
        <w:rPr>
          <w:rFonts w:ascii="宋体" w:hAnsi="宋体" w:hint="eastAsia"/>
          <w:kern w:val="0"/>
          <w:szCs w:val="21"/>
        </w:rPr>
        <w:t>（</w:t>
      </w:r>
      <w:r>
        <w:rPr>
          <w:kern w:val="0"/>
          <w:szCs w:val="21"/>
        </w:rPr>
        <w:t>1</w:t>
      </w:r>
      <w:r>
        <w:rPr>
          <w:rFonts w:ascii="宋体" w:hAnsi="宋体" w:hint="eastAsia"/>
          <w:kern w:val="0"/>
          <w:szCs w:val="21"/>
        </w:rPr>
        <w:t>）中国概况；</w:t>
      </w:r>
    </w:p>
    <w:p w:rsidR="00CE6945" w:rsidRDefault="00CE6945">
      <w:pPr>
        <w:widowControl/>
        <w:snapToGrid w:val="0"/>
        <w:ind w:left="420" w:firstLine="435"/>
        <w:rPr>
          <w:kern w:val="0"/>
          <w:szCs w:val="21"/>
        </w:rPr>
      </w:pPr>
      <w:r>
        <w:rPr>
          <w:rFonts w:ascii="宋体" w:hAnsi="宋体" w:hint="eastAsia"/>
          <w:kern w:val="0"/>
          <w:szCs w:val="21"/>
        </w:rPr>
        <w:lastRenderedPageBreak/>
        <w:t>（</w:t>
      </w:r>
      <w:r>
        <w:rPr>
          <w:kern w:val="0"/>
          <w:szCs w:val="21"/>
        </w:rPr>
        <w:t>2</w:t>
      </w:r>
      <w:r>
        <w:rPr>
          <w:rFonts w:ascii="宋体" w:hAnsi="宋体" w:hint="eastAsia"/>
          <w:kern w:val="0"/>
          <w:szCs w:val="21"/>
        </w:rPr>
        <w:t>）汉语课，毕业时要求达到新ＨＳＫ</w:t>
      </w:r>
      <w:r>
        <w:rPr>
          <w:kern w:val="0"/>
          <w:szCs w:val="21"/>
        </w:rPr>
        <w:t>6</w:t>
      </w:r>
      <w:r>
        <w:rPr>
          <w:rFonts w:ascii="宋体" w:hAnsi="宋体" w:hint="eastAsia"/>
          <w:kern w:val="0"/>
          <w:szCs w:val="21"/>
        </w:rPr>
        <w:t>级（经批准用外语进行研究者除外）；</w:t>
      </w:r>
    </w:p>
    <w:p w:rsidR="00CE6945" w:rsidRDefault="00CE6945">
      <w:pPr>
        <w:widowControl/>
        <w:snapToGrid w:val="0"/>
        <w:ind w:firstLine="840"/>
        <w:rPr>
          <w:rFonts w:ascii="宋体"/>
          <w:kern w:val="0"/>
          <w:szCs w:val="21"/>
        </w:rPr>
      </w:pPr>
      <w:r>
        <w:rPr>
          <w:rFonts w:ascii="宋体" w:hAnsi="宋体" w:hint="eastAsia"/>
          <w:kern w:val="0"/>
          <w:szCs w:val="21"/>
        </w:rPr>
        <w:t>（</w:t>
      </w:r>
      <w:r>
        <w:rPr>
          <w:kern w:val="0"/>
          <w:szCs w:val="21"/>
        </w:rPr>
        <w:t>3</w:t>
      </w:r>
      <w:r>
        <w:rPr>
          <w:rFonts w:ascii="宋体" w:hAnsi="宋体" w:hint="eastAsia"/>
          <w:kern w:val="0"/>
          <w:szCs w:val="21"/>
        </w:rPr>
        <w:t>）专业课程同中</w:t>
      </w:r>
      <w:smartTag w:uri="urn:schemas-microsoft-com:office:smarttags" w:element="PersonName">
        <w:smartTagPr>
          <w:attr w:name="ProductID" w:val="国"/>
        </w:smartTagPr>
        <w:r>
          <w:rPr>
            <w:rFonts w:ascii="宋体" w:hAnsi="宋体" w:hint="eastAsia"/>
            <w:kern w:val="0"/>
            <w:szCs w:val="21"/>
          </w:rPr>
          <w:t>国</w:t>
        </w:r>
      </w:smartTag>
      <w:r>
        <w:rPr>
          <w:rFonts w:ascii="宋体" w:hAnsi="宋体" w:hint="eastAsia"/>
          <w:kern w:val="0"/>
          <w:szCs w:val="21"/>
        </w:rPr>
        <w:t>博士研究生。</w:t>
      </w:r>
    </w:p>
    <w:p w:rsidR="00CE6945" w:rsidRDefault="00CE6945">
      <w:pPr>
        <w:widowControl/>
        <w:snapToGrid w:val="0"/>
        <w:rPr>
          <w:rFonts w:ascii="宋体"/>
          <w:kern w:val="0"/>
          <w:szCs w:val="21"/>
        </w:rPr>
      </w:pPr>
      <w:r>
        <w:rPr>
          <w:rFonts w:ascii="宋体" w:hAnsi="宋体" w:hint="eastAsia"/>
          <w:kern w:val="0"/>
          <w:szCs w:val="21"/>
        </w:rPr>
        <w:t>（四）、资格考核</w:t>
      </w:r>
    </w:p>
    <w:p w:rsidR="00CE6945" w:rsidRDefault="00CE6945">
      <w:pPr>
        <w:pStyle w:val="1"/>
        <w:widowControl/>
        <w:shd w:val="clear" w:color="auto" w:fill="FFFFFF"/>
        <w:ind w:left="420" w:firstLineChars="0" w:firstLine="0"/>
        <w:jc w:val="left"/>
        <w:rPr>
          <w:rFonts w:ascii="宋体" w:cs="宋体"/>
          <w:kern w:val="0"/>
          <w:szCs w:val="21"/>
        </w:rPr>
      </w:pPr>
      <w:r>
        <w:rPr>
          <w:rFonts w:ascii="宋体" w:hAnsi="宋体" w:cs="宋体" w:hint="eastAsia"/>
          <w:kern w:val="0"/>
          <w:szCs w:val="21"/>
        </w:rPr>
        <w:t>建全阶段考核制度，</w:t>
      </w:r>
      <w:r>
        <w:rPr>
          <w:rFonts w:ascii="宋体" w:hAnsi="宋体" w:cs="宋体" w:hint="eastAsia"/>
          <w:bCs/>
          <w:kern w:val="0"/>
          <w:szCs w:val="21"/>
        </w:rPr>
        <w:t>达到分流、淘汰和择优、奖优目的；同时配合学校的论文质检制度，保障学位论文水平。</w:t>
      </w:r>
    </w:p>
    <w:p w:rsidR="00CE6945" w:rsidRDefault="00CE6945">
      <w:pPr>
        <w:pStyle w:val="1"/>
        <w:widowControl/>
        <w:numPr>
          <w:ilvl w:val="0"/>
          <w:numId w:val="6"/>
        </w:numPr>
        <w:shd w:val="clear" w:color="auto" w:fill="FFFFFF"/>
        <w:ind w:firstLineChars="0"/>
        <w:jc w:val="left"/>
        <w:rPr>
          <w:rFonts w:ascii="宋体" w:cs="宋体"/>
          <w:b/>
          <w:bCs/>
          <w:kern w:val="0"/>
          <w:szCs w:val="21"/>
        </w:rPr>
      </w:pPr>
      <w:r>
        <w:rPr>
          <w:rFonts w:ascii="宋体" w:hAnsi="宋体" w:cs="宋体" w:hint="eastAsia"/>
          <w:bCs/>
          <w:kern w:val="0"/>
          <w:szCs w:val="21"/>
        </w:rPr>
        <w:t>博士资格考核时间</w:t>
      </w:r>
    </w:p>
    <w:p w:rsidR="00CE6945" w:rsidRDefault="00CE6945">
      <w:pPr>
        <w:pStyle w:val="1"/>
        <w:widowControl/>
        <w:shd w:val="clear" w:color="auto" w:fill="FFFFFF"/>
        <w:ind w:left="720" w:firstLineChars="0" w:firstLine="0"/>
        <w:jc w:val="left"/>
        <w:rPr>
          <w:rFonts w:ascii="宋体" w:cs="宋体"/>
          <w:bCs/>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w:t>
      </w:r>
      <w:r>
        <w:rPr>
          <w:rFonts w:ascii="宋体" w:hAnsi="宋体" w:cs="宋体" w:hint="eastAsia"/>
          <w:bCs/>
          <w:kern w:val="0"/>
          <w:szCs w:val="21"/>
        </w:rPr>
        <w:t>资格考核、学位论文开题考核安排在第三学期初进行。（</w:t>
      </w:r>
      <w:r>
        <w:rPr>
          <w:rFonts w:ascii="宋体" w:hAnsi="宋体" w:cs="宋体"/>
          <w:bCs/>
          <w:kern w:val="0"/>
          <w:szCs w:val="21"/>
        </w:rPr>
        <w:t>2</w:t>
      </w:r>
      <w:r>
        <w:rPr>
          <w:rFonts w:ascii="宋体" w:hAnsi="宋体" w:cs="宋体" w:hint="eastAsia"/>
          <w:bCs/>
          <w:kern w:val="0"/>
          <w:szCs w:val="21"/>
        </w:rPr>
        <w:t>）所有博士生须参加所在年级的第一次考核；确有原因而无法参加者，做暂缓通过处理。</w:t>
      </w:r>
    </w:p>
    <w:p w:rsidR="00CE6945" w:rsidRDefault="00CE6945">
      <w:pPr>
        <w:pStyle w:val="1"/>
        <w:widowControl/>
        <w:numPr>
          <w:ilvl w:val="0"/>
          <w:numId w:val="6"/>
        </w:numPr>
        <w:shd w:val="clear" w:color="auto" w:fill="FFFFFF"/>
        <w:ind w:firstLineChars="0"/>
        <w:jc w:val="left"/>
        <w:rPr>
          <w:rFonts w:ascii="宋体" w:cs="宋体"/>
          <w:bCs/>
          <w:kern w:val="0"/>
          <w:szCs w:val="21"/>
        </w:rPr>
      </w:pPr>
      <w:r>
        <w:rPr>
          <w:rFonts w:ascii="宋体" w:hAnsi="宋体" w:cs="宋体" w:hint="eastAsia"/>
          <w:bCs/>
          <w:kern w:val="0"/>
          <w:szCs w:val="21"/>
        </w:rPr>
        <w:t>博士资格考核内容</w:t>
      </w:r>
    </w:p>
    <w:p w:rsidR="00CE6945" w:rsidRDefault="00CE6945">
      <w:pPr>
        <w:pStyle w:val="1"/>
        <w:widowControl/>
        <w:shd w:val="clear" w:color="auto" w:fill="FFFFFF"/>
        <w:ind w:left="720" w:firstLineChars="0" w:firstLine="0"/>
        <w:jc w:val="left"/>
        <w:rPr>
          <w:rFonts w:asci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）除学校规定要求外，导师（组）须在入学始开列至少</w:t>
      </w:r>
      <w:r>
        <w:rPr>
          <w:rFonts w:ascii="宋体" w:hAnsi="宋体" w:cs="宋体"/>
          <w:bCs/>
          <w:kern w:val="0"/>
          <w:szCs w:val="21"/>
        </w:rPr>
        <w:t>20</w:t>
      </w:r>
      <w:r>
        <w:rPr>
          <w:rFonts w:ascii="宋体" w:hAnsi="宋体" w:cs="宋体" w:hint="eastAsia"/>
          <w:bCs/>
          <w:kern w:val="0"/>
          <w:szCs w:val="21"/>
        </w:rPr>
        <w:t>种专业书目，学生须完成每种书目的读书报告。（</w:t>
      </w:r>
      <w:r>
        <w:rPr>
          <w:rFonts w:ascii="宋体" w:hAnsi="宋体" w:cs="宋体"/>
          <w:bCs/>
          <w:kern w:val="0"/>
          <w:szCs w:val="21"/>
        </w:rPr>
        <w:t>2</w:t>
      </w:r>
      <w:r>
        <w:rPr>
          <w:rFonts w:ascii="宋体" w:hAnsi="宋体" w:cs="宋体" w:hint="eastAsia"/>
          <w:bCs/>
          <w:kern w:val="0"/>
          <w:szCs w:val="21"/>
        </w:rPr>
        <w:t>）另由学生自选、导师认可至少</w:t>
      </w:r>
      <w:r>
        <w:rPr>
          <w:rFonts w:ascii="宋体" w:hAnsi="宋体" w:cs="宋体"/>
          <w:bCs/>
          <w:kern w:val="0"/>
          <w:szCs w:val="21"/>
        </w:rPr>
        <w:t>10</w:t>
      </w:r>
      <w:r>
        <w:rPr>
          <w:rFonts w:ascii="宋体" w:hAnsi="宋体" w:cs="宋体" w:hint="eastAsia"/>
          <w:bCs/>
          <w:kern w:val="0"/>
          <w:szCs w:val="21"/>
        </w:rPr>
        <w:t>种专业书目，每种也须完成读书报告。（</w:t>
      </w:r>
      <w:r>
        <w:rPr>
          <w:rFonts w:ascii="宋体" w:hAnsi="宋体" w:cs="宋体"/>
          <w:bCs/>
          <w:kern w:val="0"/>
          <w:szCs w:val="21"/>
        </w:rPr>
        <w:t>3</w:t>
      </w:r>
      <w:r>
        <w:rPr>
          <w:rFonts w:ascii="宋体" w:hAnsi="宋体" w:cs="宋体" w:hint="eastAsia"/>
          <w:bCs/>
          <w:kern w:val="0"/>
          <w:szCs w:val="21"/>
        </w:rPr>
        <w:t>）共</w:t>
      </w:r>
      <w:r>
        <w:rPr>
          <w:rFonts w:ascii="宋体" w:hAnsi="宋体" w:cs="宋体"/>
          <w:bCs/>
          <w:kern w:val="0"/>
          <w:szCs w:val="21"/>
        </w:rPr>
        <w:t>30</w:t>
      </w:r>
      <w:r>
        <w:rPr>
          <w:rFonts w:ascii="宋体" w:hAnsi="宋体" w:cs="宋体" w:hint="eastAsia"/>
          <w:bCs/>
          <w:kern w:val="0"/>
          <w:szCs w:val="21"/>
        </w:rPr>
        <w:t>种书目及读书报告为博士资格考核内容。通过者获学位论文开题考核资格。（</w:t>
      </w:r>
      <w:r>
        <w:rPr>
          <w:rFonts w:ascii="宋体" w:hAnsi="宋体" w:cs="宋体"/>
          <w:bCs/>
          <w:kern w:val="0"/>
          <w:szCs w:val="21"/>
        </w:rPr>
        <w:t>4</w:t>
      </w:r>
      <w:r>
        <w:rPr>
          <w:rFonts w:ascii="宋体" w:hAnsi="宋体" w:cs="宋体" w:hint="eastAsia"/>
          <w:bCs/>
          <w:kern w:val="0"/>
          <w:szCs w:val="21"/>
        </w:rPr>
        <w:t>）学位论文开题考核的内容即论文开题报告所涉的学术范围。</w:t>
      </w:r>
    </w:p>
    <w:p w:rsidR="00CE6945" w:rsidRDefault="00CE6945" w:rsidP="00961051">
      <w:pPr>
        <w:pStyle w:val="1"/>
        <w:numPr>
          <w:ilvl w:val="0"/>
          <w:numId w:val="6"/>
        </w:numPr>
        <w:shd w:val="clear" w:color="auto" w:fill="FFFFFF"/>
        <w:tabs>
          <w:tab w:val="left" w:pos="720"/>
        </w:tabs>
        <w:ind w:firstLineChars="0"/>
        <w:rPr>
          <w:rFonts w:ascii="宋体" w:cs="宋体"/>
          <w:bCs/>
          <w:kern w:val="0"/>
          <w:szCs w:val="21"/>
        </w:rPr>
      </w:pPr>
      <w:r>
        <w:rPr>
          <w:rFonts w:ascii="宋体" w:hAnsi="宋体" w:cs="宋体" w:hint="eastAsia"/>
          <w:bCs/>
          <w:kern w:val="0"/>
          <w:szCs w:val="21"/>
        </w:rPr>
        <w:t>博士资格考核方式</w:t>
      </w:r>
    </w:p>
    <w:p w:rsidR="00CE6945" w:rsidRDefault="00CE6945">
      <w:pPr>
        <w:pStyle w:val="1"/>
        <w:shd w:val="clear" w:color="auto" w:fill="FFFFFF"/>
        <w:tabs>
          <w:tab w:val="left" w:pos="720"/>
        </w:tabs>
        <w:ind w:left="720" w:firstLineChars="0" w:firstLine="0"/>
        <w:rPr>
          <w:rFonts w:asci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）博士生须经导师审核（课程学习、科研成果、读书报告等）、同意方可参加资格考核。（</w:t>
      </w:r>
      <w:r>
        <w:rPr>
          <w:rFonts w:ascii="宋体" w:hAnsi="宋体" w:cs="宋体"/>
          <w:bCs/>
          <w:kern w:val="0"/>
          <w:szCs w:val="21"/>
        </w:rPr>
        <w:t>2</w:t>
      </w:r>
      <w:r>
        <w:rPr>
          <w:rFonts w:ascii="宋体" w:hAnsi="宋体" w:cs="宋体" w:hint="eastAsia"/>
          <w:bCs/>
          <w:kern w:val="0"/>
          <w:szCs w:val="21"/>
        </w:rPr>
        <w:t>）由本专业</w:t>
      </w:r>
      <w:r>
        <w:rPr>
          <w:rFonts w:ascii="宋体" w:hAnsi="宋体" w:cs="宋体"/>
          <w:bCs/>
          <w:kern w:val="0"/>
          <w:szCs w:val="21"/>
        </w:rPr>
        <w:t>5</w:t>
      </w:r>
      <w:r>
        <w:rPr>
          <w:rFonts w:ascii="宋体" w:hAnsi="宋体" w:cs="宋体" w:hint="eastAsia"/>
          <w:bCs/>
          <w:kern w:val="0"/>
          <w:szCs w:val="21"/>
        </w:rPr>
        <w:t>位教师组成考核小组，在已定</w:t>
      </w:r>
      <w:r>
        <w:rPr>
          <w:rFonts w:ascii="宋体" w:hAnsi="宋体" w:cs="宋体"/>
          <w:bCs/>
          <w:kern w:val="0"/>
          <w:szCs w:val="21"/>
        </w:rPr>
        <w:t>30</w:t>
      </w:r>
      <w:r>
        <w:rPr>
          <w:rFonts w:ascii="宋体" w:hAnsi="宋体" w:cs="宋体" w:hint="eastAsia"/>
          <w:bCs/>
          <w:kern w:val="0"/>
          <w:szCs w:val="21"/>
        </w:rPr>
        <w:t>种书目范围内，以现场答问（笔试、口试）方式进行考核。考核成绩分优秀、通过、暂缓通过、不通过四种。（</w:t>
      </w:r>
      <w:r>
        <w:rPr>
          <w:rFonts w:ascii="宋体" w:hAnsi="宋体" w:cs="宋体"/>
          <w:bCs/>
          <w:kern w:val="0"/>
          <w:szCs w:val="21"/>
        </w:rPr>
        <w:t>3</w:t>
      </w:r>
      <w:r>
        <w:rPr>
          <w:rFonts w:ascii="宋体" w:hAnsi="宋体" w:cs="宋体" w:hint="eastAsia"/>
          <w:bCs/>
          <w:kern w:val="0"/>
          <w:szCs w:val="21"/>
        </w:rPr>
        <w:t>）通过者获学位论文开题考核资格。开题考核方式不变。</w:t>
      </w:r>
      <w:r>
        <w:rPr>
          <w:rFonts w:ascii="宋体" w:hAnsi="宋体" w:cs="宋体"/>
          <w:bCs/>
          <w:kern w:val="0"/>
          <w:szCs w:val="21"/>
        </w:rPr>
        <w:t xml:space="preserve"> </w:t>
      </w:r>
    </w:p>
    <w:p w:rsidR="00CE6945" w:rsidRDefault="00CE6945">
      <w:pPr>
        <w:pStyle w:val="1"/>
        <w:numPr>
          <w:ilvl w:val="0"/>
          <w:numId w:val="6"/>
        </w:numPr>
        <w:shd w:val="clear" w:color="auto" w:fill="FFFFFF"/>
        <w:tabs>
          <w:tab w:val="left" w:pos="720"/>
        </w:tabs>
        <w:ind w:firstLineChars="0"/>
        <w:rPr>
          <w:rFonts w:ascii="宋体" w:cs="宋体"/>
          <w:bCs/>
          <w:kern w:val="0"/>
          <w:szCs w:val="21"/>
        </w:rPr>
      </w:pPr>
      <w:r>
        <w:rPr>
          <w:rFonts w:ascii="宋体" w:hAnsi="宋体" w:cs="宋体" w:hint="eastAsia"/>
          <w:bCs/>
          <w:kern w:val="0"/>
          <w:szCs w:val="21"/>
        </w:rPr>
        <w:t>考核成绩评定及奖惩</w:t>
      </w:r>
    </w:p>
    <w:p w:rsidR="00CE6945" w:rsidRDefault="00CE6945">
      <w:pPr>
        <w:pStyle w:val="1"/>
        <w:numPr>
          <w:ilvl w:val="0"/>
          <w:numId w:val="7"/>
        </w:numPr>
        <w:shd w:val="clear" w:color="auto" w:fill="FFFFFF"/>
        <w:ind w:firstLineChars="0"/>
        <w:rPr>
          <w:rFonts w:ascii="宋体" w:cs="宋体"/>
          <w:bCs/>
          <w:kern w:val="0"/>
          <w:szCs w:val="21"/>
        </w:rPr>
      </w:pPr>
      <w:r>
        <w:rPr>
          <w:rFonts w:ascii="宋体" w:hAnsi="宋体" w:cs="宋体" w:hint="eastAsia"/>
          <w:bCs/>
          <w:kern w:val="0"/>
          <w:szCs w:val="21"/>
        </w:rPr>
        <w:t>成绩评优者，须全票获优秀评价；</w:t>
      </w:r>
      <w:r>
        <w:rPr>
          <w:rFonts w:ascii="宋体" w:hAnsi="宋体" w:cs="宋体"/>
          <w:bCs/>
          <w:kern w:val="0"/>
          <w:szCs w:val="21"/>
        </w:rPr>
        <w:t xml:space="preserve"> 3</w:t>
      </w:r>
      <w:r>
        <w:rPr>
          <w:rFonts w:ascii="宋体" w:hAnsi="宋体" w:cs="宋体" w:hint="eastAsia"/>
          <w:bCs/>
          <w:kern w:val="0"/>
          <w:szCs w:val="21"/>
        </w:rPr>
        <w:t>票（含）以上合格评价者，通过；不足</w:t>
      </w:r>
      <w:r>
        <w:rPr>
          <w:rFonts w:ascii="宋体" w:hAnsi="宋体" w:cs="宋体"/>
          <w:bCs/>
          <w:kern w:val="0"/>
          <w:szCs w:val="21"/>
        </w:rPr>
        <w:t>3</w:t>
      </w:r>
      <w:r>
        <w:rPr>
          <w:rFonts w:ascii="宋体" w:hAnsi="宋体" w:cs="宋体" w:hint="eastAsia"/>
          <w:bCs/>
          <w:kern w:val="0"/>
          <w:szCs w:val="21"/>
        </w:rPr>
        <w:t>票合格者，暂缓通过或不通过。</w:t>
      </w:r>
      <w:r>
        <w:rPr>
          <w:rFonts w:ascii="宋体" w:hAnsi="宋体" w:cs="宋体"/>
          <w:bCs/>
          <w:kern w:val="0"/>
          <w:szCs w:val="21"/>
        </w:rPr>
        <w:t xml:space="preserve"> </w:t>
      </w:r>
    </w:p>
    <w:p w:rsidR="00CE6945" w:rsidRDefault="00CE6945">
      <w:pPr>
        <w:pStyle w:val="1"/>
        <w:numPr>
          <w:ilvl w:val="0"/>
          <w:numId w:val="7"/>
        </w:numPr>
        <w:shd w:val="clear" w:color="auto" w:fill="FFFFFF"/>
        <w:ind w:firstLineChars="0"/>
        <w:rPr>
          <w:rFonts w:ascii="宋体" w:cs="宋体"/>
          <w:bCs/>
          <w:kern w:val="0"/>
          <w:szCs w:val="21"/>
        </w:rPr>
      </w:pPr>
      <w:r>
        <w:rPr>
          <w:rFonts w:ascii="宋体" w:hAnsi="宋体" w:cs="宋体" w:hint="eastAsia"/>
          <w:bCs/>
          <w:kern w:val="0"/>
          <w:szCs w:val="21"/>
        </w:rPr>
        <w:t>考核通过者进入下阶段学习；对其中优秀者予以奖励，未通过者予以延期等分流处理。</w:t>
      </w:r>
    </w:p>
    <w:p w:rsidR="00CE6945" w:rsidRDefault="00CE6945">
      <w:pPr>
        <w:pStyle w:val="1"/>
        <w:numPr>
          <w:ilvl w:val="0"/>
          <w:numId w:val="7"/>
        </w:numPr>
        <w:shd w:val="clear" w:color="auto" w:fill="FFFFFF"/>
        <w:ind w:firstLineChars="0"/>
        <w:rPr>
          <w:rFonts w:ascii="宋体" w:cs="宋体"/>
          <w:bCs/>
          <w:kern w:val="0"/>
          <w:szCs w:val="21"/>
        </w:rPr>
      </w:pPr>
      <w:r>
        <w:rPr>
          <w:rFonts w:ascii="宋体" w:hAnsi="宋体" w:cs="宋体" w:hint="eastAsia"/>
          <w:bCs/>
          <w:kern w:val="0"/>
          <w:szCs w:val="21"/>
        </w:rPr>
        <w:t>通过考核而获奖励的优秀者，原则上不高于参加考核人数的</w:t>
      </w:r>
      <w:r>
        <w:rPr>
          <w:rFonts w:ascii="宋体" w:hAnsi="宋体" w:cs="宋体"/>
          <w:bCs/>
          <w:kern w:val="0"/>
          <w:szCs w:val="21"/>
        </w:rPr>
        <w:t>15</w:t>
      </w:r>
      <w:r>
        <w:rPr>
          <w:rFonts w:ascii="宋体" w:hAnsi="宋体" w:cs="宋体" w:hint="eastAsia"/>
          <w:bCs/>
          <w:kern w:val="0"/>
          <w:szCs w:val="21"/>
        </w:rPr>
        <w:t>％；未通过考核而须延期等分流处理者，原则上不低于参加考核人数的</w:t>
      </w:r>
      <w:r>
        <w:rPr>
          <w:rFonts w:ascii="宋体" w:hAnsi="宋体" w:cs="宋体"/>
          <w:bCs/>
          <w:kern w:val="0"/>
          <w:szCs w:val="21"/>
        </w:rPr>
        <w:t>15</w:t>
      </w:r>
      <w:r>
        <w:rPr>
          <w:rFonts w:ascii="宋体" w:hAnsi="宋体" w:cs="宋体" w:hint="eastAsia"/>
          <w:bCs/>
          <w:kern w:val="0"/>
          <w:szCs w:val="21"/>
        </w:rPr>
        <w:t>％。</w:t>
      </w:r>
    </w:p>
    <w:p w:rsidR="00CE6945" w:rsidRDefault="00CE6945">
      <w:pPr>
        <w:widowControl/>
        <w:snapToGrid w:val="0"/>
        <w:rPr>
          <w:rFonts w:ascii="宋体" w:cs="宋体"/>
          <w:bCs/>
          <w:kern w:val="0"/>
          <w:szCs w:val="21"/>
        </w:rPr>
      </w:pPr>
      <w:r>
        <w:rPr>
          <w:rFonts w:ascii="宋体" w:hAnsi="宋体" w:cs="宋体" w:hint="eastAsia"/>
          <w:bCs/>
          <w:kern w:val="0"/>
          <w:szCs w:val="21"/>
        </w:rPr>
        <w:t>暂缓通过、不通过者的再次同类考核，须在一年之后</w:t>
      </w:r>
      <w:r>
        <w:rPr>
          <w:rFonts w:ascii="宋体" w:hAnsi="宋体" w:cs="宋体"/>
          <w:bCs/>
          <w:kern w:val="0"/>
          <w:szCs w:val="21"/>
        </w:rPr>
        <w:t>(</w:t>
      </w:r>
      <w:r>
        <w:rPr>
          <w:rFonts w:ascii="宋体" w:hAnsi="宋体" w:cs="宋体" w:hint="eastAsia"/>
          <w:bCs/>
          <w:kern w:val="0"/>
          <w:szCs w:val="21"/>
        </w:rPr>
        <w:t>原则上每年安排一次考核</w:t>
      </w:r>
      <w:r>
        <w:rPr>
          <w:rFonts w:ascii="宋体" w:hAnsi="宋体" w:cs="宋体"/>
          <w:bCs/>
          <w:kern w:val="0"/>
          <w:szCs w:val="21"/>
        </w:rPr>
        <w:t>)</w:t>
      </w:r>
      <w:r>
        <w:rPr>
          <w:rFonts w:ascii="宋体" w:hAnsi="宋体" w:cs="宋体" w:hint="eastAsia"/>
          <w:bCs/>
          <w:kern w:val="0"/>
          <w:szCs w:val="21"/>
        </w:rPr>
        <w:t>。六年内三次同类考核未通过者，学校将视其为自动终止学业，予以退学，作肄业处理。</w:t>
      </w:r>
    </w:p>
    <w:p w:rsidR="00CE6945" w:rsidRDefault="00CE6945">
      <w:pPr>
        <w:rPr>
          <w:szCs w:val="24"/>
        </w:rPr>
      </w:pPr>
      <w:r>
        <w:rPr>
          <w:rFonts w:hint="eastAsia"/>
        </w:rPr>
        <w:t>（五）、论文答辩</w:t>
      </w:r>
    </w:p>
    <w:p w:rsidR="00CE6945" w:rsidRDefault="00CE6945">
      <w:pPr>
        <w:widowControl/>
        <w:snapToGrid w:val="0"/>
        <w:ind w:left="420"/>
        <w:rPr>
          <w:rFonts w:ascii="宋体"/>
          <w:kern w:val="0"/>
          <w:szCs w:val="21"/>
        </w:rPr>
      </w:pPr>
      <w:r>
        <w:rPr>
          <w:rFonts w:ascii="宋体" w:hAnsi="宋体"/>
          <w:kern w:val="0"/>
          <w:szCs w:val="21"/>
        </w:rPr>
        <w:t>1</w:t>
      </w:r>
      <w:r>
        <w:rPr>
          <w:rFonts w:ascii="宋体" w:hAnsi="宋体" w:hint="eastAsia"/>
          <w:kern w:val="0"/>
          <w:szCs w:val="21"/>
        </w:rPr>
        <w:t>、开题报告</w:t>
      </w:r>
    </w:p>
    <w:p w:rsidR="00CE6945" w:rsidRDefault="00CE6945">
      <w:pPr>
        <w:widowControl/>
        <w:snapToGrid w:val="0"/>
        <w:ind w:left="420"/>
        <w:rPr>
          <w:rFonts w:ascii="宋体"/>
          <w:kern w:val="0"/>
          <w:szCs w:val="21"/>
        </w:rPr>
      </w:pPr>
      <w:r>
        <w:rPr>
          <w:rFonts w:ascii="宋体" w:hAnsi="宋体" w:hint="eastAsia"/>
          <w:kern w:val="0"/>
          <w:szCs w:val="21"/>
        </w:rPr>
        <w:t>博士生学位论文开题报告应在资格考核结束后进行，时间安排在第二学年。指导教师应在论文阶段及时检查论文的可行性，确保论文如期完成。</w:t>
      </w:r>
    </w:p>
    <w:p w:rsidR="00CE6945" w:rsidRDefault="00CE6945" w:rsidP="00064D23">
      <w:pPr>
        <w:shd w:val="clear" w:color="auto" w:fill="FFFFFF"/>
        <w:ind w:firstLineChars="200" w:firstLine="420"/>
        <w:rPr>
          <w:rFonts w:ascii="宋体"/>
          <w:kern w:val="0"/>
          <w:szCs w:val="21"/>
        </w:rPr>
      </w:pPr>
      <w:r>
        <w:rPr>
          <w:rFonts w:ascii="宋体" w:hAnsi="宋体"/>
          <w:kern w:val="0"/>
          <w:szCs w:val="21"/>
        </w:rPr>
        <w:t>2</w:t>
      </w:r>
      <w:r>
        <w:rPr>
          <w:rFonts w:ascii="宋体" w:hAnsi="宋体" w:hint="eastAsia"/>
          <w:kern w:val="0"/>
          <w:szCs w:val="21"/>
        </w:rPr>
        <w:t>、论文预审</w:t>
      </w:r>
    </w:p>
    <w:p w:rsidR="00CE6945" w:rsidRDefault="00CE6945" w:rsidP="00064D23">
      <w:pPr>
        <w:shd w:val="clear" w:color="auto" w:fill="FFFFFF"/>
        <w:ind w:firstLineChars="200" w:firstLine="420"/>
        <w:rPr>
          <w:rFonts w:ascii="宋体"/>
          <w:kern w:val="0"/>
          <w:szCs w:val="21"/>
        </w:rPr>
      </w:pPr>
      <w:r>
        <w:rPr>
          <w:rFonts w:ascii="宋体" w:hAnsi="宋体" w:hint="eastAsia"/>
          <w:kern w:val="0"/>
          <w:szCs w:val="21"/>
        </w:rPr>
        <w:t>学位论文答辩前，应进行论文预审或预答辩。（此环节配合</w:t>
      </w:r>
      <w:r>
        <w:rPr>
          <w:rFonts w:ascii="宋体" w:hAnsi="宋体" w:cs="宋体" w:hint="eastAsia"/>
          <w:bCs/>
          <w:kern w:val="0"/>
          <w:szCs w:val="21"/>
        </w:rPr>
        <w:t>学校论文抽检</w:t>
      </w:r>
      <w:r>
        <w:rPr>
          <w:rFonts w:ascii="宋体" w:cs="宋体"/>
          <w:bCs/>
          <w:kern w:val="0"/>
          <w:szCs w:val="21"/>
        </w:rPr>
        <w:t>\</w:t>
      </w:r>
      <w:r>
        <w:rPr>
          <w:rFonts w:ascii="宋体" w:hAnsi="宋体" w:cs="宋体" w:hint="eastAsia"/>
          <w:bCs/>
          <w:kern w:val="0"/>
          <w:szCs w:val="21"/>
        </w:rPr>
        <w:t>盲审制度进行。）</w:t>
      </w:r>
      <w:r>
        <w:rPr>
          <w:rFonts w:ascii="宋体" w:hAnsi="宋体" w:cs="宋体"/>
          <w:bCs/>
          <w:kern w:val="0"/>
          <w:szCs w:val="21"/>
        </w:rPr>
        <w:t xml:space="preserve"> </w:t>
      </w:r>
    </w:p>
    <w:p w:rsidR="00CE6945" w:rsidRDefault="00CE6945">
      <w:pPr>
        <w:pStyle w:val="1"/>
        <w:numPr>
          <w:ilvl w:val="0"/>
          <w:numId w:val="8"/>
        </w:numPr>
        <w:shd w:val="clear" w:color="auto" w:fill="FFFFFF"/>
        <w:ind w:firstLineChars="0"/>
        <w:jc w:val="left"/>
        <w:rPr>
          <w:rFonts w:ascii="宋体" w:cs="宋体"/>
          <w:bCs/>
          <w:kern w:val="0"/>
          <w:szCs w:val="21"/>
        </w:rPr>
      </w:pPr>
      <w:r>
        <w:rPr>
          <w:rFonts w:ascii="宋体" w:hAnsi="宋体" w:cs="宋体" w:hint="eastAsia"/>
          <w:bCs/>
          <w:kern w:val="0"/>
          <w:szCs w:val="21"/>
        </w:rPr>
        <w:t>学位论文答辩前，由校研究生院对提出申请答辩的论文随机抽检盲审。</w:t>
      </w:r>
    </w:p>
    <w:p w:rsidR="00CE6945" w:rsidRDefault="00CE6945">
      <w:pPr>
        <w:pStyle w:val="1"/>
        <w:numPr>
          <w:ilvl w:val="0"/>
          <w:numId w:val="8"/>
        </w:numPr>
        <w:shd w:val="clear" w:color="auto" w:fill="FFFFFF"/>
        <w:ind w:firstLineChars="0"/>
        <w:jc w:val="left"/>
        <w:rPr>
          <w:rFonts w:ascii="宋体" w:cs="宋体"/>
          <w:bCs/>
          <w:kern w:val="0"/>
          <w:szCs w:val="21"/>
        </w:rPr>
      </w:pPr>
      <w:r>
        <w:rPr>
          <w:rFonts w:ascii="宋体" w:hAnsi="宋体" w:cs="宋体" w:hint="eastAsia"/>
          <w:bCs/>
          <w:kern w:val="0"/>
          <w:szCs w:val="21"/>
        </w:rPr>
        <w:t>未被研究生院抽中者，其论文须由本专业邀请校内</w:t>
      </w:r>
      <w:r>
        <w:rPr>
          <w:rFonts w:ascii="宋体" w:cs="宋体"/>
          <w:bCs/>
          <w:kern w:val="0"/>
          <w:szCs w:val="21"/>
        </w:rPr>
        <w:t>\</w:t>
      </w:r>
      <w:r>
        <w:rPr>
          <w:rFonts w:ascii="宋体" w:hAnsi="宋体" w:cs="宋体" w:hint="eastAsia"/>
          <w:bCs/>
          <w:kern w:val="0"/>
          <w:szCs w:val="21"/>
        </w:rPr>
        <w:t>外三位专家预审，全部通过者可予答辩。一票未通过者，须修改后再次预审，并酌情决定（缓期）答辩时间。</w:t>
      </w:r>
    </w:p>
    <w:p w:rsidR="00CE6945" w:rsidRDefault="00CE6945" w:rsidP="00064D23">
      <w:pPr>
        <w:widowControl/>
        <w:snapToGrid w:val="0"/>
        <w:ind w:firstLineChars="200" w:firstLine="420"/>
        <w:rPr>
          <w:rFonts w:ascii="宋体"/>
          <w:kern w:val="0"/>
          <w:szCs w:val="21"/>
        </w:rPr>
      </w:pPr>
      <w:r>
        <w:rPr>
          <w:rFonts w:ascii="宋体" w:hAnsi="宋体" w:hint="eastAsia"/>
          <w:kern w:val="0"/>
          <w:szCs w:val="21"/>
        </w:rPr>
        <w:t>３、论文答辩</w:t>
      </w:r>
    </w:p>
    <w:p w:rsidR="00CE6945" w:rsidRDefault="00CE6945">
      <w:pPr>
        <w:widowControl/>
        <w:snapToGrid w:val="0"/>
        <w:ind w:left="420" w:firstLine="435"/>
        <w:rPr>
          <w:kern w:val="0"/>
          <w:szCs w:val="21"/>
        </w:rPr>
      </w:pPr>
      <w:r>
        <w:rPr>
          <w:rFonts w:ascii="宋体" w:hAnsi="宋体" w:hint="eastAsia"/>
          <w:kern w:val="0"/>
          <w:szCs w:val="21"/>
        </w:rPr>
        <w:t>博士学位论文应当表明作者具有独立从事科学研究工作的能力，并在专业领域内体现创造性的成果。</w:t>
      </w:r>
    </w:p>
    <w:p w:rsidR="00CE6945" w:rsidRDefault="00CE6945" w:rsidP="00064D23">
      <w:pPr>
        <w:ind w:leftChars="150" w:left="315" w:firstLineChars="250" w:firstLine="525"/>
        <w:rPr>
          <w:szCs w:val="24"/>
        </w:rPr>
      </w:pPr>
      <w:r>
        <w:rPr>
          <w:rFonts w:ascii="宋体" w:hAnsi="宋体" w:hint="eastAsia"/>
          <w:kern w:val="0"/>
          <w:szCs w:val="21"/>
        </w:rPr>
        <w:t>博士学位的论文答辩应当公开举行。博士学位论文答辩不合格者，经论文答辩委员会同意，可在两年内修改，重新答辩一次。博士学位论文答辩合格者，授予博士学位。</w:t>
      </w:r>
    </w:p>
    <w:tbl>
      <w:tblPr>
        <w:tblpPr w:leftFromText="180" w:rightFromText="180" w:horzAnchor="margin" w:tblpXSpec="center" w:tblpY="-1440"/>
        <w:tblW w:w="11758" w:type="dxa"/>
        <w:tblLayout w:type="fixed"/>
        <w:tblLook w:val="00A0"/>
      </w:tblPr>
      <w:tblGrid>
        <w:gridCol w:w="11758"/>
      </w:tblGrid>
      <w:tr w:rsidR="00CE6945" w:rsidTr="00110247">
        <w:trPr>
          <w:trHeight w:val="375"/>
        </w:trPr>
        <w:tc>
          <w:tcPr>
            <w:tcW w:w="8522" w:type="dxa"/>
            <w:vAlign w:val="center"/>
          </w:tcPr>
          <w:p w:rsidR="00CE6945" w:rsidRDefault="00CE6945" w:rsidP="00110247">
            <w:pPr>
              <w:widowControl/>
              <w:jc w:val="center"/>
              <w:rPr>
                <w:rFonts w:ascii="黑体" w:eastAsia="黑体" w:hAnsi="宋体" w:cs="宋体"/>
                <w:b/>
                <w:bCs/>
                <w:kern w:val="0"/>
                <w:sz w:val="30"/>
                <w:szCs w:val="30"/>
              </w:rPr>
            </w:pPr>
          </w:p>
          <w:p w:rsidR="00CE6945" w:rsidRDefault="00CE6945" w:rsidP="00110247">
            <w:pPr>
              <w:widowControl/>
              <w:jc w:val="left"/>
              <w:rPr>
                <w:rFonts w:ascii="黑体" w:eastAsia="黑体" w:hAnsi="宋体" w:cs="宋体"/>
                <w:b/>
                <w:bCs/>
                <w:kern w:val="0"/>
                <w:sz w:val="30"/>
                <w:szCs w:val="30"/>
              </w:rPr>
            </w:pPr>
            <w:r>
              <w:rPr>
                <w:rFonts w:ascii="黑体" w:eastAsia="黑体" w:hAnsi="宋体" w:cs="宋体"/>
                <w:b/>
                <w:bCs/>
                <w:kern w:val="0"/>
                <w:sz w:val="30"/>
                <w:szCs w:val="30"/>
              </w:rPr>
              <w:lastRenderedPageBreak/>
              <w:t xml:space="preserve">                                   </w:t>
            </w:r>
            <w:r>
              <w:rPr>
                <w:rFonts w:ascii="黑体" w:eastAsia="黑体" w:hAnsi="宋体" w:cs="宋体" w:hint="eastAsia"/>
                <w:b/>
                <w:bCs/>
                <w:kern w:val="0"/>
                <w:sz w:val="30"/>
                <w:szCs w:val="30"/>
              </w:rPr>
              <w:t>硕士生课程</w:t>
            </w:r>
          </w:p>
          <w:tbl>
            <w:tblPr>
              <w:tblW w:w="11670" w:type="dxa"/>
              <w:tblLayout w:type="fixed"/>
              <w:tblLook w:val="00A0"/>
            </w:tblPr>
            <w:tblGrid>
              <w:gridCol w:w="10"/>
              <w:gridCol w:w="1030"/>
              <w:gridCol w:w="10"/>
              <w:gridCol w:w="3790"/>
              <w:gridCol w:w="10"/>
              <w:gridCol w:w="2610"/>
              <w:gridCol w:w="10"/>
              <w:gridCol w:w="2050"/>
              <w:gridCol w:w="10"/>
              <w:gridCol w:w="490"/>
              <w:gridCol w:w="10"/>
              <w:gridCol w:w="1630"/>
              <w:gridCol w:w="10"/>
            </w:tblGrid>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课程类别</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课程名称</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课程编码</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任课教师</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学分</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课程设置（转型期</w:t>
                  </w:r>
                  <w:r>
                    <w:rPr>
                      <w:color w:val="000000"/>
                      <w:sz w:val="20"/>
                      <w:szCs w:val="20"/>
                    </w:rPr>
                    <w:t>/</w:t>
                  </w:r>
                  <w:r>
                    <w:rPr>
                      <w:rFonts w:hint="eastAsia"/>
                      <w:color w:val="000000"/>
                      <w:sz w:val="20"/>
                      <w:szCs w:val="20"/>
                    </w:rPr>
                    <w:t>专业核心</w:t>
                  </w:r>
                  <w:r>
                    <w:rPr>
                      <w:color w:val="000000"/>
                      <w:sz w:val="20"/>
                      <w:szCs w:val="20"/>
                    </w:rPr>
                    <w:t>/</w:t>
                  </w:r>
                  <w:r>
                    <w:rPr>
                      <w:rFonts w:hint="eastAsia"/>
                      <w:color w:val="000000"/>
                      <w:sz w:val="20"/>
                      <w:szCs w:val="20"/>
                    </w:rPr>
                    <w:t>方法实践</w:t>
                  </w:r>
                  <w:r>
                    <w:rPr>
                      <w:color w:val="000000"/>
                      <w:sz w:val="20"/>
                      <w:szCs w:val="20"/>
                    </w:rPr>
                    <w:t>/</w:t>
                  </w:r>
                  <w:r>
                    <w:rPr>
                      <w:rFonts w:hint="eastAsia"/>
                      <w:color w:val="000000"/>
                      <w:sz w:val="20"/>
                      <w:szCs w:val="20"/>
                    </w:rPr>
                    <w:t>交叉前沿）</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A</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马列文论选读</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a"/>
                      <w:attr w:name="SourceValue" w:val="10284"/>
                      <w:attr w:name="HasSpace" w:val="False"/>
                      <w:attr w:name="Negative" w:val="False"/>
                      <w:attr w:name="NumberType" w:val="1"/>
                      <w:attr w:name="TCSC" w:val="0"/>
                    </w:smartTagPr>
                    <w:r>
                      <w:rPr>
                        <w:color w:val="000000"/>
                        <w:sz w:val="20"/>
                        <w:szCs w:val="20"/>
                      </w:rPr>
                      <w:t>10284A</w:t>
                    </w:r>
                  </w:smartTag>
                  <w:r>
                    <w:rPr>
                      <w:color w:val="000000"/>
                      <w:sz w:val="20"/>
                      <w:szCs w:val="20"/>
                    </w:rPr>
                    <w:t>007</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汪正龙</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1</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A</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中国特色社会主义理论与实践</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2</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A</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外语</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4</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文艺学的方法和体系</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0501B0200</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赵宪章、汪正龙</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转型期基础课程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古文字学</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0501B1100</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魏宜辉</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转型期基础课程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文献学理论与方法</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0501B0900</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武秀成</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转型期基础课程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中国文学史专题与方法</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0501B0400</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巩本栋等</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转型期基础课程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中国文化史专题研究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0501B0500</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许结</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转型期基础课程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中国现当代文学思潮</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0501B0600</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倪婷婷、王爱松</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转型期基础课程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西方文学批评史专题研究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0501B0700</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昂智慧</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转型期基础课程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戏剧理论研究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0501B1300</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马俊山</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转型期基础课程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影视艺术研究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0501B1200</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李兴阳</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古代文学研究的理论方法与实践</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2017</w:t>
                  </w:r>
                  <w:r>
                    <w:rPr>
                      <w:rFonts w:hint="eastAsia"/>
                      <w:color w:val="000000"/>
                      <w:sz w:val="20"/>
                      <w:szCs w:val="20"/>
                    </w:rPr>
                    <w:t>年秋季学期以后开设</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张伯伟</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方法实践类课程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近四百年学术史研究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2017</w:t>
                  </w:r>
                  <w:r>
                    <w:rPr>
                      <w:rFonts w:hint="eastAsia"/>
                      <w:color w:val="000000"/>
                      <w:sz w:val="20"/>
                      <w:szCs w:val="20"/>
                    </w:rPr>
                    <w:t>年秋季学期以后开设</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徐雁平</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交叉前沿类课程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现代中国与现代文学</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2017</w:t>
                  </w:r>
                  <w:r>
                    <w:rPr>
                      <w:rFonts w:hint="eastAsia"/>
                      <w:color w:val="000000"/>
                      <w:sz w:val="20"/>
                      <w:szCs w:val="20"/>
                    </w:rPr>
                    <w:t>年秋季学期以后开设</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王彬彬</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交叉前沿类课程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当代语言学理论和汉语研究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2017</w:t>
                  </w:r>
                  <w:r>
                    <w:rPr>
                      <w:rFonts w:hint="eastAsia"/>
                      <w:color w:val="000000"/>
                      <w:sz w:val="20"/>
                      <w:szCs w:val="20"/>
                    </w:rPr>
                    <w:t>年秋季学期以后开设</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沈阳</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汉语史研究的材料与方法</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2017</w:t>
                  </w:r>
                  <w:r>
                    <w:rPr>
                      <w:rFonts w:hint="eastAsia"/>
                      <w:color w:val="000000"/>
                      <w:sz w:val="20"/>
                      <w:szCs w:val="20"/>
                    </w:rPr>
                    <w:t>年秋季学期以后开设</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张玉来等</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方法实践类课程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B</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中外文学比较研究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2017</w:t>
                  </w:r>
                  <w:r>
                    <w:rPr>
                      <w:rFonts w:hint="eastAsia"/>
                      <w:color w:val="000000"/>
                      <w:sz w:val="20"/>
                      <w:szCs w:val="20"/>
                    </w:rPr>
                    <w:t>年秋季学期以后开设</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余斌</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中国古典美学史专题研究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1"/>
                      <w:attr w:name="HasSpace" w:val="False"/>
                      <w:attr w:name="Negative" w:val="False"/>
                      <w:attr w:name="NumberType" w:val="1"/>
                      <w:attr w:name="TCSC" w:val="0"/>
                    </w:smartTagPr>
                    <w:r>
                      <w:rPr>
                        <w:color w:val="000000"/>
                        <w:sz w:val="20"/>
                        <w:szCs w:val="20"/>
                      </w:rPr>
                      <w:t>050101C</w:t>
                    </w:r>
                  </w:smartTag>
                  <w:r>
                    <w:rPr>
                      <w:color w:val="000000"/>
                      <w:sz w:val="20"/>
                      <w:szCs w:val="20"/>
                    </w:rPr>
                    <w:t>10</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包兆会</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转型期基础课程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中国中古美学专题研究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1"/>
                      <w:attr w:name="HasSpace" w:val="False"/>
                      <w:attr w:name="Negative" w:val="False"/>
                      <w:attr w:name="NumberType" w:val="1"/>
                      <w:attr w:name="TCSC" w:val="0"/>
                    </w:smartTagPr>
                    <w:r>
                      <w:rPr>
                        <w:color w:val="000000"/>
                        <w:sz w:val="20"/>
                        <w:szCs w:val="20"/>
                      </w:rPr>
                      <w:t>050101C</w:t>
                    </w:r>
                  </w:smartTag>
                  <w:r>
                    <w:rPr>
                      <w:color w:val="000000"/>
                      <w:sz w:val="20"/>
                      <w:szCs w:val="20"/>
                    </w:rPr>
                    <w:t>12</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李昌舒</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城市文化研究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1"/>
                      <w:attr w:name="HasSpace" w:val="False"/>
                      <w:attr w:name="Negative" w:val="False"/>
                      <w:attr w:name="NumberType" w:val="1"/>
                      <w:attr w:name="TCSC" w:val="0"/>
                    </w:smartTagPr>
                    <w:r>
                      <w:rPr>
                        <w:color w:val="000000"/>
                        <w:sz w:val="20"/>
                        <w:szCs w:val="20"/>
                      </w:rPr>
                      <w:t>050101C</w:t>
                    </w:r>
                  </w:smartTag>
                  <w:r>
                    <w:rPr>
                      <w:color w:val="000000"/>
                      <w:sz w:val="20"/>
                      <w:szCs w:val="20"/>
                    </w:rPr>
                    <w:t>13</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高小康</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近现代中国诗学与思想史</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1"/>
                      <w:attr w:name="HasSpace" w:val="False"/>
                      <w:attr w:name="Negative" w:val="False"/>
                      <w:attr w:name="NumberType" w:val="1"/>
                      <w:attr w:name="TCSC" w:val="0"/>
                    </w:smartTagPr>
                    <w:r>
                      <w:rPr>
                        <w:color w:val="000000"/>
                        <w:sz w:val="20"/>
                        <w:szCs w:val="20"/>
                      </w:rPr>
                      <w:t>050101C</w:t>
                    </w:r>
                  </w:smartTag>
                  <w:r>
                    <w:rPr>
                      <w:color w:val="000000"/>
                      <w:sz w:val="20"/>
                      <w:szCs w:val="20"/>
                    </w:rPr>
                    <w:t>15</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周欣展</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句法理论基础</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2"/>
                      <w:attr w:name="HasSpace" w:val="False"/>
                      <w:attr w:name="Negative" w:val="False"/>
                      <w:attr w:name="NumberType" w:val="1"/>
                      <w:attr w:name="TCSC" w:val="0"/>
                    </w:smartTagPr>
                    <w:r>
                      <w:rPr>
                        <w:color w:val="000000"/>
                        <w:sz w:val="20"/>
                        <w:szCs w:val="20"/>
                      </w:rPr>
                      <w:t>050102C</w:t>
                    </w:r>
                  </w:smartTag>
                  <w:r>
                    <w:rPr>
                      <w:color w:val="000000"/>
                      <w:sz w:val="20"/>
                      <w:szCs w:val="20"/>
                    </w:rPr>
                    <w:t>03</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李亚非</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汉语语音学</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3"/>
                      <w:attr w:name="HasSpace" w:val="False"/>
                      <w:attr w:name="Negative" w:val="False"/>
                      <w:attr w:name="NumberType" w:val="1"/>
                      <w:attr w:name="TCSC" w:val="0"/>
                    </w:smartTagPr>
                    <w:r>
                      <w:rPr>
                        <w:color w:val="000000"/>
                        <w:sz w:val="20"/>
                        <w:szCs w:val="20"/>
                      </w:rPr>
                      <w:t>050103C</w:t>
                    </w:r>
                  </w:smartTag>
                  <w:r>
                    <w:rPr>
                      <w:color w:val="000000"/>
                      <w:sz w:val="20"/>
                      <w:szCs w:val="20"/>
                    </w:rPr>
                    <w:t>01</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顾黔</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转型期基础课程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汉语句法研究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2"/>
                      <w:attr w:name="HasSpace" w:val="False"/>
                      <w:attr w:name="Negative" w:val="False"/>
                      <w:attr w:name="NumberType" w:val="1"/>
                      <w:attr w:name="TCSC" w:val="0"/>
                    </w:smartTagPr>
                    <w:r>
                      <w:rPr>
                        <w:color w:val="000000"/>
                        <w:sz w:val="20"/>
                        <w:szCs w:val="20"/>
                      </w:rPr>
                      <w:t>050102C</w:t>
                    </w:r>
                  </w:smartTag>
                  <w:r>
                    <w:rPr>
                      <w:color w:val="000000"/>
                      <w:sz w:val="20"/>
                      <w:szCs w:val="20"/>
                    </w:rPr>
                    <w:t>07</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沈阳</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转型期基础课程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音韵学</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3"/>
                      <w:attr w:name="HasSpace" w:val="False"/>
                      <w:attr w:name="Negative" w:val="False"/>
                      <w:attr w:name="NumberType" w:val="1"/>
                      <w:attr w:name="TCSC" w:val="0"/>
                    </w:smartTagPr>
                    <w:r>
                      <w:rPr>
                        <w:color w:val="000000"/>
                        <w:sz w:val="20"/>
                        <w:szCs w:val="20"/>
                      </w:rPr>
                      <w:t>050103C</w:t>
                    </w:r>
                  </w:smartTag>
                  <w:r>
                    <w:rPr>
                      <w:color w:val="000000"/>
                      <w:sz w:val="20"/>
                      <w:szCs w:val="20"/>
                    </w:rPr>
                    <w:t>02</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张玉来</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转型期基础课程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佛经文献语言研究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3"/>
                      <w:attr w:name="HasSpace" w:val="False"/>
                      <w:attr w:name="Negative" w:val="False"/>
                      <w:attr w:name="NumberType" w:val="1"/>
                      <w:attr w:name="TCSC" w:val="0"/>
                    </w:smartTagPr>
                    <w:r>
                      <w:rPr>
                        <w:color w:val="000000"/>
                        <w:sz w:val="20"/>
                        <w:szCs w:val="20"/>
                      </w:rPr>
                      <w:t>050103C</w:t>
                    </w:r>
                  </w:smartTag>
                  <w:r>
                    <w:rPr>
                      <w:color w:val="000000"/>
                      <w:sz w:val="20"/>
                      <w:szCs w:val="20"/>
                    </w:rPr>
                    <w:t>10</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陈文杰</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交叉前沿类课程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汉语方言调查与研究方法</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3"/>
                      <w:attr w:name="HasSpace" w:val="False"/>
                      <w:attr w:name="Negative" w:val="False"/>
                      <w:attr w:name="NumberType" w:val="1"/>
                      <w:attr w:name="TCSC" w:val="0"/>
                    </w:smartTagPr>
                    <w:r>
                      <w:rPr>
                        <w:color w:val="000000"/>
                        <w:sz w:val="20"/>
                        <w:szCs w:val="20"/>
                      </w:rPr>
                      <w:t>050103C</w:t>
                    </w:r>
                  </w:smartTag>
                  <w:r>
                    <w:rPr>
                      <w:color w:val="000000"/>
                      <w:sz w:val="20"/>
                      <w:szCs w:val="20"/>
                    </w:rPr>
                    <w:t>11</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陈立中</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方法实践类课程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语义语法专论</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3"/>
                      <w:attr w:name="HasSpace" w:val="False"/>
                      <w:attr w:name="Negative" w:val="False"/>
                      <w:attr w:name="NumberType" w:val="1"/>
                      <w:attr w:name="TCSC" w:val="0"/>
                    </w:smartTagPr>
                    <w:r>
                      <w:rPr>
                        <w:color w:val="000000"/>
                        <w:sz w:val="20"/>
                        <w:szCs w:val="20"/>
                      </w:rPr>
                      <w:t>050103C</w:t>
                    </w:r>
                  </w:smartTag>
                  <w:r>
                    <w:rPr>
                      <w:color w:val="000000"/>
                      <w:sz w:val="20"/>
                      <w:szCs w:val="20"/>
                    </w:rPr>
                    <w:t>12</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马清华</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中国古典诗歌艺术研究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4"/>
                      <w:attr w:name="HasSpace" w:val="False"/>
                      <w:attr w:name="Negative" w:val="False"/>
                      <w:attr w:name="NumberType" w:val="1"/>
                      <w:attr w:name="TCSC" w:val="0"/>
                    </w:smartTagPr>
                    <w:r>
                      <w:rPr>
                        <w:color w:val="000000"/>
                        <w:sz w:val="20"/>
                        <w:szCs w:val="20"/>
                      </w:rPr>
                      <w:t>050104C</w:t>
                    </w:r>
                  </w:smartTag>
                  <w:r>
                    <w:rPr>
                      <w:color w:val="000000"/>
                      <w:sz w:val="20"/>
                      <w:szCs w:val="20"/>
                    </w:rPr>
                    <w:t>09</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程章灿</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转型期基础课程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古典术数文献研究暨中古知识史研究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4"/>
                      <w:attr w:name="HasSpace" w:val="False"/>
                      <w:attr w:name="Negative" w:val="False"/>
                      <w:attr w:name="NumberType" w:val="1"/>
                      <w:attr w:name="TCSC" w:val="0"/>
                    </w:smartTagPr>
                    <w:r>
                      <w:rPr>
                        <w:color w:val="000000"/>
                        <w:sz w:val="20"/>
                        <w:szCs w:val="20"/>
                      </w:rPr>
                      <w:t>050104C</w:t>
                    </w:r>
                  </w:smartTag>
                  <w:r>
                    <w:rPr>
                      <w:color w:val="000000"/>
                      <w:sz w:val="20"/>
                      <w:szCs w:val="20"/>
                    </w:rPr>
                    <w:t>07</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赵益</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中国文学史史料学</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5"/>
                      <w:attr w:name="HasSpace" w:val="False"/>
                      <w:attr w:name="Negative" w:val="False"/>
                      <w:attr w:name="NumberType" w:val="1"/>
                      <w:attr w:name="TCSC" w:val="0"/>
                    </w:smartTagPr>
                    <w:r>
                      <w:rPr>
                        <w:color w:val="000000"/>
                        <w:sz w:val="20"/>
                        <w:szCs w:val="20"/>
                      </w:rPr>
                      <w:t>050105C</w:t>
                    </w:r>
                  </w:smartTag>
                  <w:r>
                    <w:rPr>
                      <w:color w:val="000000"/>
                      <w:sz w:val="20"/>
                      <w:szCs w:val="20"/>
                    </w:rPr>
                    <w:t>06</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巩本栋</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目录学研究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5"/>
                      <w:attr w:name="HasSpace" w:val="False"/>
                      <w:attr w:name="Negative" w:val="False"/>
                      <w:attr w:name="NumberType" w:val="1"/>
                      <w:attr w:name="TCSC" w:val="0"/>
                    </w:smartTagPr>
                    <w:r>
                      <w:rPr>
                        <w:color w:val="000000"/>
                        <w:sz w:val="20"/>
                        <w:szCs w:val="20"/>
                      </w:rPr>
                      <w:t>050105C</w:t>
                    </w:r>
                  </w:smartTag>
                  <w:r>
                    <w:rPr>
                      <w:color w:val="000000"/>
                      <w:sz w:val="20"/>
                      <w:szCs w:val="20"/>
                    </w:rPr>
                    <w:t>14</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张宗友</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老庄研究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5"/>
                      <w:attr w:name="HasSpace" w:val="False"/>
                      <w:attr w:name="Negative" w:val="False"/>
                      <w:attr w:name="NumberType" w:val="1"/>
                      <w:attr w:name="TCSC" w:val="0"/>
                    </w:smartTagPr>
                    <w:r>
                      <w:rPr>
                        <w:color w:val="000000"/>
                        <w:sz w:val="20"/>
                        <w:szCs w:val="20"/>
                      </w:rPr>
                      <w:t>050105C</w:t>
                    </w:r>
                  </w:smartTag>
                  <w:r>
                    <w:rPr>
                      <w:color w:val="000000"/>
                      <w:sz w:val="20"/>
                      <w:szCs w:val="20"/>
                    </w:rPr>
                    <w:t>02</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许结</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方法实践类课程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lastRenderedPageBreak/>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经学研究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5"/>
                      <w:attr w:name="HasSpace" w:val="False"/>
                      <w:attr w:name="Negative" w:val="False"/>
                      <w:attr w:name="NumberType" w:val="1"/>
                      <w:attr w:name="TCSC" w:val="0"/>
                    </w:smartTagPr>
                    <w:r>
                      <w:rPr>
                        <w:color w:val="000000"/>
                        <w:sz w:val="20"/>
                        <w:szCs w:val="20"/>
                      </w:rPr>
                      <w:t>050105C</w:t>
                    </w:r>
                  </w:smartTag>
                  <w:r>
                    <w:rPr>
                      <w:color w:val="000000"/>
                      <w:sz w:val="20"/>
                      <w:szCs w:val="20"/>
                    </w:rPr>
                    <w:t>01</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徐兴无</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方法实践类课程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中国古代文学与性别专题研究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5"/>
                      <w:attr w:name="HasSpace" w:val="False"/>
                      <w:attr w:name="Negative" w:val="False"/>
                      <w:attr w:name="NumberType" w:val="1"/>
                      <w:attr w:name="TCSC" w:val="0"/>
                    </w:smartTagPr>
                    <w:r>
                      <w:rPr>
                        <w:color w:val="000000"/>
                        <w:sz w:val="20"/>
                        <w:szCs w:val="20"/>
                      </w:rPr>
                      <w:t>050105C</w:t>
                    </w:r>
                  </w:smartTag>
                  <w:r>
                    <w:rPr>
                      <w:color w:val="000000"/>
                      <w:sz w:val="20"/>
                      <w:szCs w:val="20"/>
                    </w:rPr>
                    <w:t>07</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俞士玲</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交叉前沿类课程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通俗文学文献研究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5"/>
                      <w:attr w:name="HasSpace" w:val="False"/>
                      <w:attr w:name="Negative" w:val="False"/>
                      <w:attr w:name="NumberType" w:val="1"/>
                      <w:attr w:name="TCSC" w:val="0"/>
                    </w:smartTagPr>
                    <w:r>
                      <w:rPr>
                        <w:color w:val="000000"/>
                        <w:sz w:val="20"/>
                        <w:szCs w:val="20"/>
                      </w:rPr>
                      <w:t>050105C</w:t>
                    </w:r>
                  </w:smartTag>
                  <w:r>
                    <w:rPr>
                      <w:color w:val="000000"/>
                      <w:sz w:val="20"/>
                      <w:szCs w:val="20"/>
                    </w:rPr>
                    <w:t>08</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苗怀明</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域外中国文学史料学</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5"/>
                      <w:attr w:name="HasSpace" w:val="False"/>
                      <w:attr w:name="Negative" w:val="False"/>
                      <w:attr w:name="NumberType" w:val="1"/>
                      <w:attr w:name="TCSC" w:val="0"/>
                    </w:smartTagPr>
                    <w:r>
                      <w:rPr>
                        <w:color w:val="000000"/>
                        <w:sz w:val="20"/>
                        <w:szCs w:val="20"/>
                      </w:rPr>
                      <w:t>050105C</w:t>
                    </w:r>
                  </w:smartTag>
                  <w:r>
                    <w:rPr>
                      <w:color w:val="000000"/>
                      <w:sz w:val="20"/>
                      <w:szCs w:val="20"/>
                    </w:rPr>
                    <w:t>09</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金程宇</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《诗经》研究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5"/>
                      <w:attr w:name="HasSpace" w:val="False"/>
                      <w:attr w:name="Negative" w:val="False"/>
                      <w:attr w:name="NumberType" w:val="1"/>
                      <w:attr w:name="TCSC" w:val="0"/>
                    </w:smartTagPr>
                    <w:r>
                      <w:rPr>
                        <w:color w:val="000000"/>
                        <w:sz w:val="20"/>
                        <w:szCs w:val="20"/>
                      </w:rPr>
                      <w:t>050105C</w:t>
                    </w:r>
                  </w:smartTag>
                  <w:r>
                    <w:rPr>
                      <w:color w:val="000000"/>
                      <w:sz w:val="20"/>
                      <w:szCs w:val="20"/>
                    </w:rPr>
                    <w:t>11</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孙立尧</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方法实践类课程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中国中古经学与佚籍</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5"/>
                      <w:attr w:name="HasSpace" w:val="False"/>
                      <w:attr w:name="Negative" w:val="False"/>
                      <w:attr w:name="NumberType" w:val="1"/>
                      <w:attr w:name="TCSC" w:val="0"/>
                    </w:smartTagPr>
                    <w:r>
                      <w:rPr>
                        <w:color w:val="000000"/>
                        <w:sz w:val="20"/>
                        <w:szCs w:val="20"/>
                      </w:rPr>
                      <w:t>050105C</w:t>
                    </w:r>
                  </w:smartTag>
                  <w:r>
                    <w:rPr>
                      <w:color w:val="000000"/>
                      <w:sz w:val="20"/>
                      <w:szCs w:val="20"/>
                    </w:rPr>
                    <w:t>12</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童岭</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词学十讲</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5"/>
                      <w:attr w:name="HasSpace" w:val="False"/>
                      <w:attr w:name="Negative" w:val="False"/>
                      <w:attr w:name="NumberType" w:val="1"/>
                      <w:attr w:name="TCSC" w:val="0"/>
                    </w:smartTagPr>
                    <w:r>
                      <w:rPr>
                        <w:color w:val="000000"/>
                        <w:sz w:val="20"/>
                        <w:szCs w:val="20"/>
                      </w:rPr>
                      <w:t>050105C</w:t>
                    </w:r>
                  </w:smartTag>
                  <w:r>
                    <w:rPr>
                      <w:color w:val="000000"/>
                      <w:sz w:val="20"/>
                      <w:szCs w:val="20"/>
                    </w:rPr>
                    <w:t>15</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闵丰</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方法实践类课程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宋代文学与文献专题研究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5"/>
                      <w:attr w:name="HasSpace" w:val="False"/>
                      <w:attr w:name="Negative" w:val="False"/>
                      <w:attr w:name="NumberType" w:val="1"/>
                      <w:attr w:name="TCSC" w:val="0"/>
                    </w:smartTagPr>
                    <w:r>
                      <w:rPr>
                        <w:color w:val="000000"/>
                        <w:sz w:val="20"/>
                        <w:szCs w:val="20"/>
                      </w:rPr>
                      <w:t>050105C</w:t>
                    </w:r>
                  </w:smartTag>
                  <w:r>
                    <w:rPr>
                      <w:color w:val="000000"/>
                      <w:sz w:val="20"/>
                      <w:szCs w:val="20"/>
                    </w:rPr>
                    <w:t>13</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卞东波</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中国乡土小说史论</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6"/>
                      <w:attr w:name="HasSpace" w:val="False"/>
                      <w:attr w:name="Negative" w:val="False"/>
                      <w:attr w:name="NumberType" w:val="1"/>
                      <w:attr w:name="TCSC" w:val="0"/>
                    </w:smartTagPr>
                    <w:r>
                      <w:rPr>
                        <w:color w:val="000000"/>
                        <w:sz w:val="20"/>
                        <w:szCs w:val="20"/>
                      </w:rPr>
                      <w:t>050106C</w:t>
                    </w:r>
                  </w:smartTag>
                  <w:r>
                    <w:rPr>
                      <w:color w:val="000000"/>
                      <w:sz w:val="20"/>
                      <w:szCs w:val="20"/>
                    </w:rPr>
                    <w:t>07</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丁帆</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中国现当代重要作家比较研究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6"/>
                      <w:attr w:name="HasSpace" w:val="False"/>
                      <w:attr w:name="Negative" w:val="False"/>
                      <w:attr w:name="NumberType" w:val="1"/>
                      <w:attr w:name="TCSC" w:val="0"/>
                    </w:smartTagPr>
                    <w:r>
                      <w:rPr>
                        <w:color w:val="000000"/>
                        <w:sz w:val="20"/>
                        <w:szCs w:val="20"/>
                      </w:rPr>
                      <w:t>050106C</w:t>
                    </w:r>
                  </w:smartTag>
                  <w:r>
                    <w:rPr>
                      <w:color w:val="000000"/>
                      <w:sz w:val="20"/>
                      <w:szCs w:val="20"/>
                    </w:rPr>
                    <w:t>10</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王彬彬</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方法实践类课程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文化保守主义思潮与</w:t>
                  </w:r>
                  <w:r>
                    <w:rPr>
                      <w:rFonts w:ascii="Verdana" w:hAnsi="Verdana"/>
                      <w:color w:val="000000"/>
                      <w:sz w:val="20"/>
                      <w:szCs w:val="20"/>
                    </w:rPr>
                    <w:t>20</w:t>
                  </w:r>
                  <w:r>
                    <w:rPr>
                      <w:rFonts w:hint="eastAsia"/>
                      <w:color w:val="000000"/>
                      <w:sz w:val="20"/>
                      <w:szCs w:val="20"/>
                    </w:rPr>
                    <w:t>世纪中国文学</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6"/>
                      <w:attr w:name="HasSpace" w:val="False"/>
                      <w:attr w:name="Negative" w:val="False"/>
                      <w:attr w:name="NumberType" w:val="1"/>
                      <w:attr w:name="TCSC" w:val="0"/>
                    </w:smartTagPr>
                    <w:r>
                      <w:rPr>
                        <w:color w:val="000000"/>
                        <w:sz w:val="20"/>
                        <w:szCs w:val="20"/>
                      </w:rPr>
                      <w:t>050106C</w:t>
                    </w:r>
                  </w:smartTag>
                  <w:r>
                    <w:rPr>
                      <w:color w:val="000000"/>
                      <w:sz w:val="20"/>
                      <w:szCs w:val="20"/>
                    </w:rPr>
                    <w:t>17</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沈卫威</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交叉前沿类课程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台湾香港暨海外华文文学研究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6"/>
                      <w:attr w:name="HasSpace" w:val="False"/>
                      <w:attr w:name="Negative" w:val="False"/>
                      <w:attr w:name="NumberType" w:val="1"/>
                      <w:attr w:name="TCSC" w:val="0"/>
                    </w:smartTagPr>
                    <w:r>
                      <w:rPr>
                        <w:color w:val="000000"/>
                        <w:sz w:val="20"/>
                        <w:szCs w:val="20"/>
                      </w:rPr>
                      <w:t>050106C</w:t>
                    </w:r>
                  </w:smartTag>
                  <w:r>
                    <w:rPr>
                      <w:color w:val="000000"/>
                      <w:sz w:val="20"/>
                      <w:szCs w:val="20"/>
                    </w:rPr>
                    <w:t>06</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刘俊</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转型期基础课程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中国当代文学专题研究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6"/>
                      <w:attr w:name="HasSpace" w:val="False"/>
                      <w:attr w:name="Negative" w:val="False"/>
                      <w:attr w:name="NumberType" w:val="1"/>
                      <w:attr w:name="TCSC" w:val="0"/>
                    </w:smartTagPr>
                    <w:r>
                      <w:rPr>
                        <w:color w:val="000000"/>
                        <w:sz w:val="20"/>
                        <w:szCs w:val="20"/>
                      </w:rPr>
                      <w:t>050106C</w:t>
                    </w:r>
                  </w:smartTag>
                  <w:r>
                    <w:rPr>
                      <w:color w:val="000000"/>
                      <w:sz w:val="20"/>
                      <w:szCs w:val="20"/>
                    </w:rPr>
                    <w:t>13</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黄发有</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中国现代作家文化心理研究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6"/>
                      <w:attr w:name="HasSpace" w:val="False"/>
                      <w:attr w:name="Negative" w:val="False"/>
                      <w:attr w:name="NumberType" w:val="1"/>
                      <w:attr w:name="TCSC" w:val="0"/>
                    </w:smartTagPr>
                    <w:r>
                      <w:rPr>
                        <w:color w:val="000000"/>
                        <w:sz w:val="20"/>
                        <w:szCs w:val="20"/>
                      </w:rPr>
                      <w:t>050106C</w:t>
                    </w:r>
                  </w:smartTag>
                  <w:r>
                    <w:rPr>
                      <w:color w:val="000000"/>
                      <w:sz w:val="20"/>
                      <w:szCs w:val="20"/>
                    </w:rPr>
                    <w:t>01</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倪婷婷</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方法实践类课程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中国现代小说叙事学研究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6"/>
                      <w:attr w:name="HasSpace" w:val="False"/>
                      <w:attr w:name="Negative" w:val="False"/>
                      <w:attr w:name="NumberType" w:val="1"/>
                      <w:attr w:name="TCSC" w:val="0"/>
                    </w:smartTagPr>
                    <w:r>
                      <w:rPr>
                        <w:color w:val="000000"/>
                        <w:sz w:val="20"/>
                        <w:szCs w:val="20"/>
                      </w:rPr>
                      <w:t>050106C</w:t>
                    </w:r>
                  </w:smartTag>
                  <w:r>
                    <w:rPr>
                      <w:color w:val="000000"/>
                      <w:sz w:val="20"/>
                      <w:szCs w:val="20"/>
                    </w:rPr>
                    <w:t>02</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王爱松</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方法实践类课程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启蒙主义思潮与</w:t>
                  </w:r>
                  <w:r>
                    <w:rPr>
                      <w:color w:val="000000"/>
                      <w:sz w:val="20"/>
                      <w:szCs w:val="20"/>
                    </w:rPr>
                    <w:t>20</w:t>
                  </w:r>
                  <w:r>
                    <w:rPr>
                      <w:rFonts w:hint="eastAsia"/>
                      <w:color w:val="000000"/>
                      <w:sz w:val="20"/>
                      <w:szCs w:val="20"/>
                    </w:rPr>
                    <w:t>世纪中国文学</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6"/>
                      <w:attr w:name="HasSpace" w:val="False"/>
                      <w:attr w:name="Negative" w:val="False"/>
                      <w:attr w:name="NumberType" w:val="1"/>
                      <w:attr w:name="TCSC" w:val="0"/>
                    </w:smartTagPr>
                    <w:r>
                      <w:rPr>
                        <w:color w:val="000000"/>
                        <w:sz w:val="20"/>
                        <w:szCs w:val="20"/>
                      </w:rPr>
                      <w:t>050106C</w:t>
                    </w:r>
                  </w:smartTag>
                  <w:r>
                    <w:rPr>
                      <w:color w:val="000000"/>
                      <w:sz w:val="20"/>
                      <w:szCs w:val="20"/>
                    </w:rPr>
                    <w:t>11</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张光芒</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交叉前沿类课程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中国当代文学批评史研究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6"/>
                      <w:attr w:name="HasSpace" w:val="False"/>
                      <w:attr w:name="Negative" w:val="False"/>
                      <w:attr w:name="NumberType" w:val="1"/>
                      <w:attr w:name="TCSC" w:val="0"/>
                    </w:smartTagPr>
                    <w:r>
                      <w:rPr>
                        <w:color w:val="000000"/>
                        <w:sz w:val="20"/>
                        <w:szCs w:val="20"/>
                      </w:rPr>
                      <w:t>050106C</w:t>
                    </w:r>
                  </w:smartTag>
                  <w:r>
                    <w:rPr>
                      <w:color w:val="000000"/>
                      <w:sz w:val="20"/>
                      <w:szCs w:val="20"/>
                    </w:rPr>
                    <w:t>14</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吴俊</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都市文化与中国当代文学</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6"/>
                      <w:attr w:name="HasSpace" w:val="False"/>
                      <w:attr w:name="Negative" w:val="False"/>
                      <w:attr w:name="NumberType" w:val="1"/>
                      <w:attr w:name="TCSC" w:val="0"/>
                    </w:smartTagPr>
                    <w:r>
                      <w:rPr>
                        <w:color w:val="000000"/>
                        <w:sz w:val="20"/>
                        <w:szCs w:val="20"/>
                      </w:rPr>
                      <w:t>050106C</w:t>
                    </w:r>
                  </w:smartTag>
                  <w:r>
                    <w:rPr>
                      <w:color w:val="000000"/>
                      <w:sz w:val="20"/>
                      <w:szCs w:val="20"/>
                    </w:rPr>
                    <w:t>12</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傅元峰</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交叉前沿类课程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80</w:t>
                  </w:r>
                  <w:r>
                    <w:rPr>
                      <w:rFonts w:hint="eastAsia"/>
                      <w:color w:val="000000"/>
                      <w:sz w:val="20"/>
                      <w:szCs w:val="20"/>
                    </w:rPr>
                    <w:t>年代文学研究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6"/>
                      <w:attr w:name="HasSpace" w:val="False"/>
                      <w:attr w:name="Negative" w:val="False"/>
                      <w:attr w:name="NumberType" w:val="1"/>
                      <w:attr w:name="TCSC" w:val="0"/>
                    </w:smartTagPr>
                    <w:r>
                      <w:rPr>
                        <w:color w:val="000000"/>
                        <w:sz w:val="20"/>
                        <w:szCs w:val="20"/>
                      </w:rPr>
                      <w:t>050106C</w:t>
                    </w:r>
                  </w:smartTag>
                  <w:r>
                    <w:rPr>
                      <w:color w:val="000000"/>
                      <w:sz w:val="20"/>
                      <w:szCs w:val="20"/>
                    </w:rPr>
                    <w:t>15</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翟业军</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交叉前沿类课程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中国现代文学研究著作选读</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6"/>
                      <w:attr w:name="HasSpace" w:val="False"/>
                      <w:attr w:name="Negative" w:val="False"/>
                      <w:attr w:name="NumberType" w:val="1"/>
                      <w:attr w:name="TCSC" w:val="0"/>
                    </w:smartTagPr>
                    <w:r>
                      <w:rPr>
                        <w:color w:val="000000"/>
                        <w:sz w:val="20"/>
                        <w:szCs w:val="20"/>
                      </w:rPr>
                      <w:t>050106C</w:t>
                    </w:r>
                  </w:smartTag>
                  <w:r>
                    <w:rPr>
                      <w:color w:val="000000"/>
                      <w:sz w:val="20"/>
                      <w:szCs w:val="20"/>
                    </w:rPr>
                    <w:t>16</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葛飞</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方法实践类课程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中国现代诗论研究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2017</w:t>
                  </w:r>
                  <w:r>
                    <w:rPr>
                      <w:rFonts w:hint="eastAsia"/>
                      <w:color w:val="000000"/>
                      <w:sz w:val="20"/>
                      <w:szCs w:val="20"/>
                    </w:rPr>
                    <w:t>年秋季学期以后开设</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李章斌</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方法实践类课程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现代派研究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8"/>
                      <w:attr w:name="HasSpace" w:val="False"/>
                      <w:attr w:name="Negative" w:val="False"/>
                      <w:attr w:name="NumberType" w:val="1"/>
                      <w:attr w:name="TCSC" w:val="0"/>
                    </w:smartTagPr>
                    <w:r>
                      <w:rPr>
                        <w:color w:val="000000"/>
                        <w:sz w:val="20"/>
                        <w:szCs w:val="20"/>
                      </w:rPr>
                      <w:t>050108C</w:t>
                    </w:r>
                  </w:smartTag>
                  <w:r>
                    <w:rPr>
                      <w:color w:val="000000"/>
                      <w:sz w:val="20"/>
                      <w:szCs w:val="20"/>
                    </w:rPr>
                    <w:t>03</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唐建清</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方法实践类课程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西方文学与中国现当代文学比较研究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8"/>
                      <w:attr w:name="HasSpace" w:val="False"/>
                      <w:attr w:name="Negative" w:val="False"/>
                      <w:attr w:name="NumberType" w:val="1"/>
                      <w:attr w:name="TCSC" w:val="0"/>
                    </w:smartTagPr>
                    <w:r>
                      <w:rPr>
                        <w:color w:val="000000"/>
                        <w:sz w:val="20"/>
                        <w:szCs w:val="20"/>
                      </w:rPr>
                      <w:t>050108C</w:t>
                    </w:r>
                  </w:smartTag>
                  <w:r>
                    <w:rPr>
                      <w:color w:val="000000"/>
                      <w:sz w:val="20"/>
                      <w:szCs w:val="20"/>
                    </w:rPr>
                    <w:t>02</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余斌</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交叉前沿类课程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20</w:t>
                  </w:r>
                  <w:r>
                    <w:rPr>
                      <w:rFonts w:hint="eastAsia"/>
                      <w:color w:val="000000"/>
                      <w:sz w:val="20"/>
                      <w:szCs w:val="20"/>
                    </w:rPr>
                    <w:t>世纪俄罗斯文学专题研究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8"/>
                      <w:attr w:name="HasSpace" w:val="False"/>
                      <w:attr w:name="Negative" w:val="False"/>
                      <w:attr w:name="NumberType" w:val="1"/>
                      <w:attr w:name="TCSC" w:val="0"/>
                    </w:smartTagPr>
                    <w:r>
                      <w:rPr>
                        <w:color w:val="000000"/>
                        <w:sz w:val="20"/>
                        <w:szCs w:val="20"/>
                      </w:rPr>
                      <w:t>050108C</w:t>
                    </w:r>
                  </w:smartTag>
                  <w:r>
                    <w:rPr>
                      <w:color w:val="000000"/>
                      <w:sz w:val="20"/>
                      <w:szCs w:val="20"/>
                    </w:rPr>
                    <w:t>04</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董晓</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英国文学经典重读</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108"/>
                      <w:attr w:name="HasSpace" w:val="False"/>
                      <w:attr w:name="Negative" w:val="False"/>
                      <w:attr w:name="NumberType" w:val="1"/>
                      <w:attr w:name="TCSC" w:val="0"/>
                    </w:smartTagPr>
                    <w:r>
                      <w:rPr>
                        <w:color w:val="000000"/>
                        <w:sz w:val="20"/>
                        <w:szCs w:val="20"/>
                      </w:rPr>
                      <w:t>050108C</w:t>
                    </w:r>
                  </w:smartTag>
                  <w:r>
                    <w:rPr>
                      <w:color w:val="000000"/>
                      <w:sz w:val="20"/>
                      <w:szCs w:val="20"/>
                    </w:rPr>
                    <w:t>05</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肖锦龙</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中国现代戏剧专题研究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405"/>
                      <w:attr w:name="HasSpace" w:val="False"/>
                      <w:attr w:name="Negative" w:val="False"/>
                      <w:attr w:name="NumberType" w:val="1"/>
                      <w:attr w:name="TCSC" w:val="0"/>
                    </w:smartTagPr>
                    <w:r>
                      <w:rPr>
                        <w:color w:val="000000"/>
                        <w:sz w:val="20"/>
                        <w:szCs w:val="20"/>
                      </w:rPr>
                      <w:t>050405C</w:t>
                    </w:r>
                  </w:smartTag>
                  <w:r>
                    <w:rPr>
                      <w:color w:val="000000"/>
                      <w:sz w:val="20"/>
                      <w:szCs w:val="20"/>
                    </w:rPr>
                    <w:t>34</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胡星亮</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戏剧</w:t>
                  </w:r>
                  <w:r w:rsidR="00064D23">
                    <w:rPr>
                      <w:rFonts w:hint="eastAsia"/>
                      <w:color w:val="000000"/>
                      <w:sz w:val="20"/>
                      <w:szCs w:val="20"/>
                    </w:rPr>
                    <w:t>与影视评论</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405"/>
                      <w:attr w:name="HasSpace" w:val="False"/>
                      <w:attr w:name="Negative" w:val="False"/>
                      <w:attr w:name="NumberType" w:val="1"/>
                      <w:attr w:name="TCSC" w:val="0"/>
                    </w:smartTagPr>
                    <w:r>
                      <w:rPr>
                        <w:color w:val="000000"/>
                        <w:sz w:val="20"/>
                        <w:szCs w:val="20"/>
                      </w:rPr>
                      <w:t>050405C</w:t>
                    </w:r>
                  </w:smartTag>
                  <w:r>
                    <w:rPr>
                      <w:color w:val="000000"/>
                      <w:sz w:val="20"/>
                      <w:szCs w:val="20"/>
                    </w:rPr>
                    <w:t>33</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吕效平</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中国古代曲学研究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405"/>
                      <w:attr w:name="HasSpace" w:val="False"/>
                      <w:attr w:name="Negative" w:val="False"/>
                      <w:attr w:name="NumberType" w:val="1"/>
                      <w:attr w:name="TCSC" w:val="0"/>
                    </w:smartTagPr>
                    <w:r>
                      <w:rPr>
                        <w:color w:val="000000"/>
                        <w:sz w:val="20"/>
                        <w:szCs w:val="20"/>
                      </w:rPr>
                      <w:t>050405C</w:t>
                    </w:r>
                  </w:smartTag>
                  <w:r>
                    <w:rPr>
                      <w:color w:val="000000"/>
                      <w:sz w:val="20"/>
                      <w:szCs w:val="20"/>
                    </w:rPr>
                    <w:t>29</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解玉峰</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戏曲声腔研究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405"/>
                      <w:attr w:name="HasSpace" w:val="False"/>
                      <w:attr w:name="Negative" w:val="False"/>
                      <w:attr w:name="NumberType" w:val="1"/>
                      <w:attr w:name="TCSC" w:val="0"/>
                    </w:smartTagPr>
                    <w:r>
                      <w:rPr>
                        <w:color w:val="000000"/>
                        <w:sz w:val="20"/>
                        <w:szCs w:val="20"/>
                      </w:rPr>
                      <w:t>050405C</w:t>
                    </w:r>
                  </w:smartTag>
                  <w:r>
                    <w:rPr>
                      <w:color w:val="000000"/>
                      <w:sz w:val="20"/>
                      <w:szCs w:val="20"/>
                    </w:rPr>
                    <w:t>35</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许莉莉</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方法实践类课程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当代电影研究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405"/>
                      <w:attr w:name="HasSpace" w:val="False"/>
                      <w:attr w:name="Negative" w:val="False"/>
                      <w:attr w:name="NumberType" w:val="1"/>
                      <w:attr w:name="TCSC" w:val="0"/>
                    </w:smartTagPr>
                    <w:r>
                      <w:rPr>
                        <w:color w:val="000000"/>
                        <w:sz w:val="20"/>
                        <w:szCs w:val="20"/>
                      </w:rPr>
                      <w:t>050405C</w:t>
                    </w:r>
                  </w:smartTag>
                  <w:r>
                    <w:rPr>
                      <w:color w:val="000000"/>
                      <w:sz w:val="20"/>
                      <w:szCs w:val="20"/>
                    </w:rPr>
                    <w:t>32</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杨弋枢</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20</w:t>
                  </w:r>
                  <w:r>
                    <w:rPr>
                      <w:rFonts w:hint="eastAsia"/>
                      <w:color w:val="000000"/>
                      <w:sz w:val="20"/>
                      <w:szCs w:val="20"/>
                    </w:rPr>
                    <w:t>世纪电影艺术史</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405"/>
                      <w:attr w:name="HasSpace" w:val="False"/>
                      <w:attr w:name="Negative" w:val="False"/>
                      <w:attr w:name="NumberType" w:val="1"/>
                      <w:attr w:name="TCSC" w:val="0"/>
                    </w:smartTagPr>
                    <w:r>
                      <w:rPr>
                        <w:color w:val="000000"/>
                        <w:sz w:val="20"/>
                        <w:szCs w:val="20"/>
                      </w:rPr>
                      <w:t>050405C</w:t>
                    </w:r>
                  </w:smartTag>
                  <w:r>
                    <w:rPr>
                      <w:color w:val="000000"/>
                      <w:sz w:val="20"/>
                      <w:szCs w:val="20"/>
                    </w:rPr>
                    <w:t>12</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周安华</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电视艺术研究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405"/>
                      <w:attr w:name="HasSpace" w:val="False"/>
                      <w:attr w:name="Negative" w:val="False"/>
                      <w:attr w:name="NumberType" w:val="1"/>
                      <w:attr w:name="TCSC" w:val="0"/>
                    </w:smartTagPr>
                    <w:r>
                      <w:rPr>
                        <w:color w:val="000000"/>
                        <w:sz w:val="20"/>
                        <w:szCs w:val="20"/>
                      </w:rPr>
                      <w:t>050405C</w:t>
                    </w:r>
                  </w:smartTag>
                  <w:r>
                    <w:rPr>
                      <w:color w:val="000000"/>
                      <w:sz w:val="20"/>
                      <w:szCs w:val="20"/>
                    </w:rPr>
                    <w:t>11</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张建勤</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专业核心课程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C</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中外电影比较研究</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smartTag w:uri="urn:schemas-microsoft-com:office:smarttags" w:element="chmetcnv">
                    <w:smartTagPr>
                      <w:attr w:name="UnitName" w:val="C"/>
                      <w:attr w:name="SourceValue" w:val="50405"/>
                      <w:attr w:name="HasSpace" w:val="False"/>
                      <w:attr w:name="Negative" w:val="False"/>
                      <w:attr w:name="NumberType" w:val="1"/>
                      <w:attr w:name="TCSC" w:val="0"/>
                    </w:smartTagPr>
                    <w:r>
                      <w:rPr>
                        <w:color w:val="000000"/>
                        <w:sz w:val="20"/>
                        <w:szCs w:val="20"/>
                      </w:rPr>
                      <w:t>050405C</w:t>
                    </w:r>
                  </w:smartTag>
                  <w:r>
                    <w:rPr>
                      <w:color w:val="000000"/>
                      <w:sz w:val="20"/>
                      <w:szCs w:val="20"/>
                    </w:rPr>
                    <w:t>24</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洪宏</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交叉前沿类课程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b/>
                      <w:bCs/>
                      <w:color w:val="000000"/>
                      <w:sz w:val="20"/>
                      <w:szCs w:val="20"/>
                    </w:rPr>
                  </w:pP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b/>
                      <w:bCs/>
                      <w:color w:val="000000"/>
                      <w:sz w:val="20"/>
                      <w:szCs w:val="20"/>
                    </w:rPr>
                  </w:pPr>
                  <w:r>
                    <w:rPr>
                      <w:b/>
                      <w:bCs/>
                      <w:color w:val="000000"/>
                      <w:sz w:val="20"/>
                      <w:szCs w:val="20"/>
                    </w:rPr>
                    <w:t>D</w:t>
                  </w:r>
                  <w:r>
                    <w:rPr>
                      <w:rFonts w:hint="eastAsia"/>
                      <w:b/>
                      <w:bCs/>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电影哲学</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color w:val="000000"/>
                      <w:sz w:val="20"/>
                      <w:szCs w:val="20"/>
                    </w:rPr>
                    <w:t>2017</w:t>
                  </w:r>
                  <w:r>
                    <w:rPr>
                      <w:rFonts w:hint="eastAsia"/>
                      <w:color w:val="000000"/>
                      <w:sz w:val="20"/>
                      <w:szCs w:val="20"/>
                    </w:rPr>
                    <w:t>年秋季学期以后开设</w:t>
                  </w: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rFonts w:hint="eastAsia"/>
                      <w:color w:val="000000"/>
                      <w:sz w:val="20"/>
                      <w:szCs w:val="20"/>
                    </w:rPr>
                    <w:t>胡大平、罗慧林</w:t>
                  </w: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3</w:t>
                  </w: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交叉前沿类课程</w:t>
                  </w: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D</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跨一级学科任选</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D</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跨院系学科任选</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r>
            <w:tr w:rsidR="00CE6945" w:rsidTr="00110247">
              <w:trPr>
                <w:gridAfter w:val="1"/>
                <w:wAfter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r>
                    <w:rPr>
                      <w:color w:val="000000"/>
                      <w:sz w:val="20"/>
                      <w:szCs w:val="20"/>
                    </w:rPr>
                    <w:t>D</w:t>
                  </w:r>
                  <w:r>
                    <w:rPr>
                      <w:rFonts w:hint="eastAsia"/>
                      <w:color w:val="000000"/>
                      <w:sz w:val="20"/>
                      <w:szCs w:val="20"/>
                    </w:rPr>
                    <w:t>类</w:t>
                  </w:r>
                </w:p>
              </w:tc>
              <w:tc>
                <w:tcPr>
                  <w:tcW w:w="380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r>
                    <w:rPr>
                      <w:rFonts w:hint="eastAsia"/>
                      <w:color w:val="000000"/>
                      <w:sz w:val="20"/>
                      <w:szCs w:val="20"/>
                    </w:rPr>
                    <w:t>跨校课程</w:t>
                  </w:r>
                </w:p>
              </w:tc>
              <w:tc>
                <w:tcPr>
                  <w:tcW w:w="262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c>
                <w:tcPr>
                  <w:tcW w:w="206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500" w:type="dxa"/>
                  <w:gridSpan w:val="2"/>
                  <w:tcBorders>
                    <w:top w:val="nil"/>
                    <w:left w:val="nil"/>
                    <w:bottom w:val="nil"/>
                    <w:right w:val="nil"/>
                  </w:tcBorders>
                  <w:noWrap/>
                  <w:vAlign w:val="center"/>
                </w:tcPr>
                <w:p w:rsidR="00CE6945" w:rsidRDefault="00CE6945" w:rsidP="00110247">
                  <w:pPr>
                    <w:framePr w:hSpace="180" w:wrap="around" w:hAnchor="margin" w:xAlign="center" w:y="-1440"/>
                    <w:jc w:val="center"/>
                    <w:rPr>
                      <w:rFonts w:ascii="宋体" w:cs="宋体"/>
                      <w:color w:val="000000"/>
                      <w:sz w:val="20"/>
                      <w:szCs w:val="20"/>
                    </w:rPr>
                  </w:pPr>
                </w:p>
              </w:tc>
              <w:tc>
                <w:tcPr>
                  <w:tcW w:w="1640" w:type="dxa"/>
                  <w:gridSpan w:val="2"/>
                  <w:tcBorders>
                    <w:top w:val="nil"/>
                    <w:left w:val="nil"/>
                    <w:bottom w:val="nil"/>
                    <w:right w:val="nil"/>
                  </w:tcBorders>
                  <w:noWrap/>
                  <w:vAlign w:val="center"/>
                </w:tcPr>
                <w:p w:rsidR="00CE6945" w:rsidRDefault="00CE6945" w:rsidP="00110247">
                  <w:pPr>
                    <w:framePr w:hSpace="180" w:wrap="around" w:hAnchor="margin" w:xAlign="center" w:y="-1440"/>
                    <w:rPr>
                      <w:rFonts w:ascii="宋体" w:cs="宋体"/>
                      <w:color w:val="000000"/>
                      <w:sz w:val="20"/>
                      <w:szCs w:val="20"/>
                    </w:rPr>
                  </w:pPr>
                </w:p>
              </w:tc>
            </w:tr>
            <w:tr w:rsidR="00CE6945" w:rsidRPr="00110247" w:rsidTr="00110247">
              <w:trPr>
                <w:gridBefore w:val="1"/>
                <w:wBefore w:w="10" w:type="dxa"/>
                <w:trHeight w:val="270"/>
              </w:trPr>
              <w:tc>
                <w:tcPr>
                  <w:tcW w:w="104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center"/>
                    <w:rPr>
                      <w:rFonts w:ascii="宋体" w:cs="宋体"/>
                      <w:color w:val="000000"/>
                      <w:kern w:val="0"/>
                      <w:sz w:val="22"/>
                    </w:rPr>
                  </w:pPr>
                </w:p>
              </w:tc>
              <w:tc>
                <w:tcPr>
                  <w:tcW w:w="380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left"/>
                    <w:rPr>
                      <w:rFonts w:ascii="宋体" w:cs="宋体"/>
                      <w:color w:val="000000"/>
                      <w:kern w:val="0"/>
                      <w:sz w:val="22"/>
                    </w:rPr>
                  </w:pPr>
                </w:p>
              </w:tc>
              <w:tc>
                <w:tcPr>
                  <w:tcW w:w="262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left"/>
                    <w:rPr>
                      <w:rFonts w:ascii="宋体" w:cs="宋体"/>
                      <w:color w:val="000000"/>
                      <w:kern w:val="0"/>
                      <w:sz w:val="22"/>
                    </w:rPr>
                  </w:pPr>
                </w:p>
              </w:tc>
              <w:tc>
                <w:tcPr>
                  <w:tcW w:w="206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center"/>
                    <w:rPr>
                      <w:rFonts w:ascii="宋体" w:cs="宋体"/>
                      <w:color w:val="000000"/>
                      <w:kern w:val="0"/>
                      <w:sz w:val="22"/>
                    </w:rPr>
                  </w:pPr>
                </w:p>
              </w:tc>
              <w:tc>
                <w:tcPr>
                  <w:tcW w:w="50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center"/>
                    <w:rPr>
                      <w:rFonts w:ascii="宋体" w:cs="宋体"/>
                      <w:color w:val="000000"/>
                      <w:kern w:val="0"/>
                      <w:sz w:val="22"/>
                    </w:rPr>
                  </w:pPr>
                </w:p>
              </w:tc>
              <w:tc>
                <w:tcPr>
                  <w:tcW w:w="164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left"/>
                    <w:rPr>
                      <w:rFonts w:ascii="宋体" w:cs="宋体"/>
                      <w:color w:val="000000"/>
                      <w:kern w:val="0"/>
                      <w:sz w:val="22"/>
                    </w:rPr>
                  </w:pPr>
                </w:p>
              </w:tc>
            </w:tr>
            <w:tr w:rsidR="00CE6945" w:rsidRPr="00110247" w:rsidTr="00110247">
              <w:trPr>
                <w:gridBefore w:val="1"/>
                <w:wBefore w:w="10" w:type="dxa"/>
                <w:trHeight w:val="270"/>
              </w:trPr>
              <w:tc>
                <w:tcPr>
                  <w:tcW w:w="104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center"/>
                    <w:rPr>
                      <w:rFonts w:ascii="宋体" w:cs="宋体"/>
                      <w:color w:val="000000"/>
                      <w:kern w:val="0"/>
                      <w:sz w:val="22"/>
                    </w:rPr>
                  </w:pPr>
                </w:p>
              </w:tc>
              <w:tc>
                <w:tcPr>
                  <w:tcW w:w="380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left"/>
                    <w:rPr>
                      <w:rFonts w:ascii="宋体" w:cs="宋体"/>
                      <w:color w:val="000000"/>
                      <w:kern w:val="0"/>
                      <w:sz w:val="22"/>
                    </w:rPr>
                  </w:pPr>
                </w:p>
              </w:tc>
              <w:tc>
                <w:tcPr>
                  <w:tcW w:w="262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left"/>
                    <w:rPr>
                      <w:rFonts w:ascii="宋体" w:cs="宋体"/>
                      <w:color w:val="000000"/>
                      <w:kern w:val="0"/>
                      <w:sz w:val="22"/>
                    </w:rPr>
                  </w:pPr>
                </w:p>
              </w:tc>
              <w:tc>
                <w:tcPr>
                  <w:tcW w:w="206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center"/>
                    <w:rPr>
                      <w:rFonts w:ascii="宋体" w:cs="宋体"/>
                      <w:color w:val="000000"/>
                      <w:kern w:val="0"/>
                      <w:sz w:val="22"/>
                    </w:rPr>
                  </w:pPr>
                </w:p>
              </w:tc>
              <w:tc>
                <w:tcPr>
                  <w:tcW w:w="50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center"/>
                    <w:rPr>
                      <w:rFonts w:ascii="宋体" w:cs="宋体"/>
                      <w:color w:val="000000"/>
                      <w:kern w:val="0"/>
                      <w:sz w:val="22"/>
                    </w:rPr>
                  </w:pPr>
                </w:p>
              </w:tc>
              <w:tc>
                <w:tcPr>
                  <w:tcW w:w="164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left"/>
                    <w:rPr>
                      <w:rFonts w:ascii="宋体" w:cs="宋体"/>
                      <w:color w:val="000000"/>
                      <w:kern w:val="0"/>
                      <w:sz w:val="22"/>
                    </w:rPr>
                  </w:pPr>
                </w:p>
              </w:tc>
            </w:tr>
            <w:tr w:rsidR="00CE6945" w:rsidRPr="00110247" w:rsidTr="00110247">
              <w:trPr>
                <w:gridBefore w:val="1"/>
                <w:wBefore w:w="10" w:type="dxa"/>
                <w:trHeight w:val="270"/>
              </w:trPr>
              <w:tc>
                <w:tcPr>
                  <w:tcW w:w="1040" w:type="dxa"/>
                  <w:gridSpan w:val="2"/>
                  <w:tcBorders>
                    <w:top w:val="nil"/>
                    <w:left w:val="nil"/>
                    <w:bottom w:val="nil"/>
                    <w:right w:val="nil"/>
                  </w:tcBorders>
                  <w:noWrap/>
                  <w:vAlign w:val="center"/>
                </w:tcPr>
                <w:p w:rsidR="00CE6945" w:rsidRDefault="00CE6945" w:rsidP="00110247">
                  <w:pPr>
                    <w:framePr w:hSpace="180" w:wrap="around" w:hAnchor="margin" w:xAlign="center" w:y="-1440"/>
                    <w:widowControl/>
                    <w:jc w:val="center"/>
                    <w:rPr>
                      <w:rFonts w:ascii="宋体" w:cs="宋体"/>
                      <w:color w:val="000000"/>
                      <w:kern w:val="0"/>
                      <w:sz w:val="22"/>
                    </w:rPr>
                  </w:pPr>
                </w:p>
                <w:p w:rsidR="00CE6945" w:rsidRPr="00110247" w:rsidRDefault="00CE6945" w:rsidP="00110247">
                  <w:pPr>
                    <w:framePr w:hSpace="180" w:wrap="around" w:hAnchor="margin" w:xAlign="center" w:y="-1440"/>
                    <w:widowControl/>
                    <w:jc w:val="center"/>
                    <w:rPr>
                      <w:rFonts w:ascii="宋体" w:cs="宋体"/>
                      <w:color w:val="000000"/>
                      <w:kern w:val="0"/>
                      <w:sz w:val="22"/>
                    </w:rPr>
                  </w:pPr>
                </w:p>
              </w:tc>
              <w:tc>
                <w:tcPr>
                  <w:tcW w:w="380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left"/>
                    <w:rPr>
                      <w:rFonts w:ascii="宋体" w:cs="宋体"/>
                      <w:color w:val="000000"/>
                      <w:kern w:val="0"/>
                      <w:sz w:val="22"/>
                    </w:rPr>
                  </w:pPr>
                </w:p>
              </w:tc>
              <w:tc>
                <w:tcPr>
                  <w:tcW w:w="262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left"/>
                    <w:rPr>
                      <w:rFonts w:ascii="宋体" w:cs="宋体"/>
                      <w:color w:val="000000"/>
                      <w:kern w:val="0"/>
                      <w:sz w:val="22"/>
                    </w:rPr>
                  </w:pPr>
                </w:p>
              </w:tc>
              <w:tc>
                <w:tcPr>
                  <w:tcW w:w="206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center"/>
                    <w:rPr>
                      <w:rFonts w:ascii="宋体" w:cs="宋体"/>
                      <w:color w:val="000000"/>
                      <w:kern w:val="0"/>
                      <w:sz w:val="22"/>
                    </w:rPr>
                  </w:pPr>
                </w:p>
              </w:tc>
              <w:tc>
                <w:tcPr>
                  <w:tcW w:w="50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center"/>
                    <w:rPr>
                      <w:rFonts w:ascii="宋体" w:cs="宋体"/>
                      <w:color w:val="000000"/>
                      <w:kern w:val="0"/>
                      <w:sz w:val="22"/>
                    </w:rPr>
                  </w:pPr>
                </w:p>
              </w:tc>
              <w:tc>
                <w:tcPr>
                  <w:tcW w:w="1640" w:type="dxa"/>
                  <w:gridSpan w:val="2"/>
                  <w:tcBorders>
                    <w:top w:val="nil"/>
                    <w:left w:val="nil"/>
                    <w:bottom w:val="nil"/>
                    <w:right w:val="nil"/>
                  </w:tcBorders>
                  <w:noWrap/>
                  <w:vAlign w:val="center"/>
                </w:tcPr>
                <w:p w:rsidR="00CE6945" w:rsidRPr="00110247" w:rsidRDefault="00CE6945" w:rsidP="00110247">
                  <w:pPr>
                    <w:framePr w:hSpace="180" w:wrap="around" w:hAnchor="margin" w:xAlign="center" w:y="-1440"/>
                    <w:widowControl/>
                    <w:jc w:val="left"/>
                    <w:rPr>
                      <w:rFonts w:ascii="宋体" w:cs="宋体"/>
                      <w:color w:val="000000"/>
                      <w:kern w:val="0"/>
                      <w:sz w:val="22"/>
                    </w:rPr>
                  </w:pPr>
                </w:p>
              </w:tc>
            </w:tr>
          </w:tbl>
          <w:p w:rsidR="00CE6945" w:rsidRDefault="00CE6945" w:rsidP="00110247">
            <w:pPr>
              <w:widowControl/>
              <w:jc w:val="left"/>
              <w:rPr>
                <w:rFonts w:ascii="黑体" w:eastAsia="黑体" w:hAnsi="宋体" w:cs="宋体"/>
                <w:b/>
                <w:bCs/>
                <w:kern w:val="0"/>
                <w:sz w:val="30"/>
                <w:szCs w:val="30"/>
              </w:rPr>
            </w:pPr>
          </w:p>
        </w:tc>
      </w:tr>
    </w:tbl>
    <w:tbl>
      <w:tblPr>
        <w:tblW w:w="8522" w:type="dxa"/>
        <w:tblLayout w:type="fixed"/>
        <w:tblLook w:val="00A0"/>
      </w:tblPr>
      <w:tblGrid>
        <w:gridCol w:w="1337"/>
        <w:gridCol w:w="5643"/>
        <w:gridCol w:w="1542"/>
      </w:tblGrid>
      <w:tr w:rsidR="00CE6945">
        <w:trPr>
          <w:trHeight w:val="375"/>
        </w:trPr>
        <w:tc>
          <w:tcPr>
            <w:tcW w:w="8522" w:type="dxa"/>
            <w:gridSpan w:val="3"/>
            <w:vAlign w:val="center"/>
          </w:tcPr>
          <w:p w:rsidR="00CE6945" w:rsidRDefault="00CE6945">
            <w:pPr>
              <w:widowControl/>
              <w:jc w:val="center"/>
              <w:rPr>
                <w:rFonts w:ascii="黑体" w:eastAsia="黑体" w:hAnsi="宋体" w:cs="宋体"/>
                <w:b/>
                <w:bCs/>
                <w:kern w:val="0"/>
                <w:sz w:val="30"/>
                <w:szCs w:val="30"/>
              </w:rPr>
            </w:pPr>
            <w:r>
              <w:rPr>
                <w:rFonts w:ascii="黑体" w:eastAsia="黑体" w:hAnsi="宋体" w:cs="宋体" w:hint="eastAsia"/>
                <w:b/>
                <w:bCs/>
                <w:kern w:val="0"/>
                <w:sz w:val="30"/>
                <w:szCs w:val="30"/>
              </w:rPr>
              <w:lastRenderedPageBreak/>
              <w:t>博士生课程</w:t>
            </w:r>
          </w:p>
        </w:tc>
      </w:tr>
      <w:tr w:rsidR="00CE6945">
        <w:trPr>
          <w:trHeight w:val="285"/>
        </w:trPr>
        <w:tc>
          <w:tcPr>
            <w:tcW w:w="1337" w:type="dxa"/>
            <w:vAlign w:val="center"/>
          </w:tcPr>
          <w:p w:rsidR="00CE6945" w:rsidRDefault="00CE6945">
            <w:pPr>
              <w:widowControl/>
              <w:jc w:val="left"/>
              <w:rPr>
                <w:rFonts w:ascii="黑体" w:eastAsia="黑体" w:hAnsi="宋体" w:cs="宋体"/>
                <w:b/>
                <w:bCs/>
                <w:kern w:val="0"/>
                <w:sz w:val="24"/>
                <w:szCs w:val="24"/>
              </w:rPr>
            </w:pPr>
            <w:r>
              <w:rPr>
                <w:rFonts w:ascii="黑体" w:eastAsia="黑体" w:hAnsi="宋体" w:cs="宋体" w:hint="eastAsia"/>
                <w:b/>
                <w:bCs/>
                <w:kern w:val="0"/>
                <w:sz w:val="24"/>
              </w:rPr>
              <w:t>公共课</w:t>
            </w:r>
          </w:p>
        </w:tc>
        <w:tc>
          <w:tcPr>
            <w:tcW w:w="5643" w:type="dxa"/>
            <w:vAlign w:val="center"/>
          </w:tcPr>
          <w:p w:rsidR="00CE6945" w:rsidRDefault="00CE6945">
            <w:pPr>
              <w:widowControl/>
              <w:jc w:val="left"/>
              <w:rPr>
                <w:rFonts w:ascii="宋体" w:cs="宋体"/>
                <w:kern w:val="0"/>
                <w:szCs w:val="21"/>
              </w:rPr>
            </w:pPr>
          </w:p>
        </w:tc>
        <w:tc>
          <w:tcPr>
            <w:tcW w:w="1542" w:type="dxa"/>
            <w:vAlign w:val="center"/>
          </w:tcPr>
          <w:p w:rsidR="00CE6945" w:rsidRDefault="00CE6945">
            <w:pPr>
              <w:widowControl/>
              <w:jc w:val="center"/>
              <w:rPr>
                <w:rFonts w:ascii="宋体" w:cs="宋体"/>
                <w:kern w:val="0"/>
                <w:szCs w:val="21"/>
              </w:rPr>
            </w:pP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hint="eastAsia"/>
                <w:kern w:val="0"/>
                <w:szCs w:val="21"/>
              </w:rPr>
              <w:t>序号</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课程名称</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任课教师</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1</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马克思主义与当代西方社会思潮</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张异宾</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2</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博士生学术交流英语</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从丛等</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3</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英文文献检索与阅读</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昂智慧</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4</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欧美汉学原著选读</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程章灿</w:t>
            </w:r>
          </w:p>
        </w:tc>
      </w:tr>
      <w:tr w:rsidR="00CE6945">
        <w:trPr>
          <w:trHeight w:val="285"/>
        </w:trPr>
        <w:tc>
          <w:tcPr>
            <w:tcW w:w="6980" w:type="dxa"/>
            <w:gridSpan w:val="2"/>
            <w:vAlign w:val="center"/>
          </w:tcPr>
          <w:p w:rsidR="00CE6945" w:rsidRDefault="00CE6945">
            <w:pPr>
              <w:widowControl/>
              <w:jc w:val="left"/>
              <w:rPr>
                <w:rFonts w:ascii="宋体" w:cs="宋体"/>
                <w:kern w:val="0"/>
                <w:szCs w:val="21"/>
              </w:rPr>
            </w:pPr>
            <w:r>
              <w:rPr>
                <w:rFonts w:ascii="宋体" w:hAnsi="宋体" w:cs="宋体" w:hint="eastAsia"/>
                <w:kern w:val="0"/>
                <w:szCs w:val="21"/>
              </w:rPr>
              <w:t>备注：</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任选一门作为专业英语</w:t>
            </w:r>
          </w:p>
        </w:tc>
        <w:tc>
          <w:tcPr>
            <w:tcW w:w="1542" w:type="dxa"/>
            <w:vAlign w:val="center"/>
          </w:tcPr>
          <w:p w:rsidR="00CE6945" w:rsidRDefault="00CE6945">
            <w:pPr>
              <w:widowControl/>
              <w:jc w:val="center"/>
              <w:rPr>
                <w:rFonts w:ascii="宋体" w:cs="宋体"/>
                <w:kern w:val="0"/>
                <w:szCs w:val="21"/>
              </w:rPr>
            </w:pPr>
          </w:p>
        </w:tc>
      </w:tr>
      <w:tr w:rsidR="00CE6945">
        <w:trPr>
          <w:trHeight w:val="285"/>
        </w:trPr>
        <w:tc>
          <w:tcPr>
            <w:tcW w:w="1337" w:type="dxa"/>
            <w:vAlign w:val="center"/>
          </w:tcPr>
          <w:p w:rsidR="00CE6945" w:rsidRDefault="00CE6945">
            <w:pPr>
              <w:widowControl/>
              <w:jc w:val="left"/>
              <w:rPr>
                <w:rFonts w:ascii="黑体" w:eastAsia="黑体" w:hAnsi="宋体" w:cs="宋体"/>
                <w:kern w:val="0"/>
                <w:sz w:val="24"/>
                <w:szCs w:val="24"/>
              </w:rPr>
            </w:pPr>
          </w:p>
        </w:tc>
        <w:tc>
          <w:tcPr>
            <w:tcW w:w="5643" w:type="dxa"/>
            <w:vAlign w:val="center"/>
          </w:tcPr>
          <w:p w:rsidR="00CE6945" w:rsidRDefault="00CE6945">
            <w:pPr>
              <w:widowControl/>
              <w:jc w:val="left"/>
              <w:rPr>
                <w:rFonts w:ascii="宋体" w:cs="宋体"/>
                <w:kern w:val="0"/>
                <w:szCs w:val="21"/>
              </w:rPr>
            </w:pPr>
          </w:p>
        </w:tc>
        <w:tc>
          <w:tcPr>
            <w:tcW w:w="1542" w:type="dxa"/>
            <w:vAlign w:val="center"/>
          </w:tcPr>
          <w:p w:rsidR="00CE6945" w:rsidRDefault="00CE6945">
            <w:pPr>
              <w:widowControl/>
              <w:jc w:val="center"/>
              <w:rPr>
                <w:rFonts w:ascii="宋体" w:cs="宋体"/>
                <w:kern w:val="0"/>
                <w:szCs w:val="21"/>
              </w:rPr>
            </w:pPr>
          </w:p>
        </w:tc>
      </w:tr>
      <w:tr w:rsidR="00CE6945">
        <w:trPr>
          <w:trHeight w:val="285"/>
        </w:trPr>
        <w:tc>
          <w:tcPr>
            <w:tcW w:w="1337" w:type="dxa"/>
            <w:vAlign w:val="center"/>
          </w:tcPr>
          <w:p w:rsidR="00CE6945" w:rsidRDefault="00CE6945">
            <w:pPr>
              <w:widowControl/>
              <w:jc w:val="left"/>
              <w:rPr>
                <w:rFonts w:ascii="黑体" w:eastAsia="黑体" w:hAnsi="宋体" w:cs="宋体"/>
                <w:kern w:val="0"/>
                <w:sz w:val="24"/>
                <w:szCs w:val="24"/>
              </w:rPr>
            </w:pPr>
            <w:r>
              <w:rPr>
                <w:rFonts w:ascii="黑体" w:eastAsia="黑体" w:hAnsi="宋体" w:cs="宋体" w:hint="eastAsia"/>
                <w:kern w:val="0"/>
                <w:sz w:val="24"/>
              </w:rPr>
              <w:t>专业课</w:t>
            </w:r>
          </w:p>
        </w:tc>
        <w:tc>
          <w:tcPr>
            <w:tcW w:w="5643" w:type="dxa"/>
            <w:vAlign w:val="center"/>
          </w:tcPr>
          <w:p w:rsidR="00CE6945" w:rsidRDefault="00CE6945">
            <w:pPr>
              <w:widowControl/>
              <w:jc w:val="left"/>
              <w:rPr>
                <w:rFonts w:ascii="宋体" w:cs="宋体"/>
                <w:kern w:val="0"/>
                <w:szCs w:val="21"/>
              </w:rPr>
            </w:pPr>
          </w:p>
        </w:tc>
        <w:tc>
          <w:tcPr>
            <w:tcW w:w="1542" w:type="dxa"/>
            <w:vAlign w:val="center"/>
          </w:tcPr>
          <w:p w:rsidR="00CE6945" w:rsidRDefault="00CE6945">
            <w:pPr>
              <w:widowControl/>
              <w:jc w:val="center"/>
              <w:rPr>
                <w:rFonts w:ascii="宋体" w:cs="宋体"/>
                <w:kern w:val="0"/>
                <w:szCs w:val="21"/>
              </w:rPr>
            </w:pP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hint="eastAsia"/>
                <w:kern w:val="0"/>
                <w:szCs w:val="21"/>
              </w:rPr>
              <w:t>序号</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课程名称</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任课教师</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1</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形式美学专题研究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赵宪章</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2</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现代与后现代文学理论</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周</w:t>
            </w:r>
            <w:r>
              <w:rPr>
                <w:rFonts w:ascii="宋体" w:hAnsi="宋体" w:cs="宋体"/>
                <w:kern w:val="0"/>
                <w:szCs w:val="21"/>
              </w:rPr>
              <w:t xml:space="preserve">  </w:t>
            </w:r>
            <w:r>
              <w:rPr>
                <w:rFonts w:ascii="宋体" w:hAnsi="宋体" w:cs="宋体" w:hint="eastAsia"/>
                <w:kern w:val="0"/>
                <w:szCs w:val="21"/>
              </w:rPr>
              <w:t>宪</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3</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明清文论专题研究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周</w:t>
            </w:r>
            <w:r>
              <w:rPr>
                <w:rFonts w:ascii="宋体" w:hAnsi="宋体" w:cs="宋体"/>
                <w:kern w:val="0"/>
                <w:szCs w:val="21"/>
              </w:rPr>
              <w:t xml:space="preserve">  </w:t>
            </w:r>
            <w:r>
              <w:rPr>
                <w:rFonts w:ascii="宋体" w:hAnsi="宋体" w:cs="宋体" w:hint="eastAsia"/>
                <w:kern w:val="0"/>
                <w:szCs w:val="21"/>
              </w:rPr>
              <w:t>群</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4</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对外汉语教学研究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徐大明</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6</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方言学理论与方法</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顾</w:t>
            </w:r>
            <w:r>
              <w:rPr>
                <w:rFonts w:ascii="宋体" w:hAnsi="宋体" w:cs="宋体"/>
                <w:kern w:val="0"/>
                <w:szCs w:val="21"/>
              </w:rPr>
              <w:t xml:space="preserve">  </w:t>
            </w:r>
            <w:r>
              <w:rPr>
                <w:rFonts w:ascii="宋体" w:hAnsi="宋体" w:cs="宋体" w:hint="eastAsia"/>
                <w:kern w:val="0"/>
                <w:szCs w:val="21"/>
              </w:rPr>
              <w:t>黔</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7</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汉语语音史研究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张玉来</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8</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语义语法原理和研究方法</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马清华</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9</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语法学研究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沈</w:t>
            </w:r>
            <w:r>
              <w:rPr>
                <w:rFonts w:ascii="宋体" w:hAnsi="宋体" w:cs="宋体"/>
                <w:kern w:val="0"/>
                <w:szCs w:val="21"/>
              </w:rPr>
              <w:t xml:space="preserve">  </w:t>
            </w:r>
            <w:r>
              <w:rPr>
                <w:rFonts w:ascii="宋体" w:hAnsi="宋体" w:cs="宋体" w:hint="eastAsia"/>
                <w:kern w:val="0"/>
                <w:szCs w:val="21"/>
              </w:rPr>
              <w:t>阳</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10</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汉字理论</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黄德宽</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11</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欧美汉学原著选读</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程章灿</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12</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古迹校勘研究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武秀成</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13</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中古文献与知识、思想研究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赵</w:t>
            </w:r>
            <w:r>
              <w:rPr>
                <w:rFonts w:ascii="宋体" w:hAnsi="宋体" w:cs="宋体"/>
                <w:kern w:val="0"/>
                <w:szCs w:val="21"/>
              </w:rPr>
              <w:t xml:space="preserve">  </w:t>
            </w:r>
            <w:r>
              <w:rPr>
                <w:rFonts w:ascii="宋体" w:hAnsi="宋体" w:cs="宋体" w:hint="eastAsia"/>
                <w:kern w:val="0"/>
                <w:szCs w:val="21"/>
              </w:rPr>
              <w:t>益</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14</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唐宋文学专题</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莫砺锋</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15</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域外汉籍研究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张伯伟</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16</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明清文学专题研究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张宏生</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17</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中国文学史背景研究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巩本栋</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18</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中国古代散文流派研究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曹</w:t>
            </w:r>
            <w:r>
              <w:rPr>
                <w:rFonts w:ascii="宋体" w:hAnsi="宋体" w:cs="宋体"/>
                <w:kern w:val="0"/>
                <w:szCs w:val="21"/>
              </w:rPr>
              <w:t xml:space="preserve">  </w:t>
            </w:r>
            <w:r>
              <w:rPr>
                <w:rFonts w:ascii="宋体" w:hAnsi="宋体" w:cs="宋体" w:hint="eastAsia"/>
                <w:kern w:val="0"/>
                <w:szCs w:val="21"/>
              </w:rPr>
              <w:t>虹</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19</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中国赋学研究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许</w:t>
            </w:r>
            <w:r>
              <w:rPr>
                <w:rFonts w:ascii="宋体" w:hAnsi="宋体" w:cs="宋体"/>
                <w:kern w:val="0"/>
                <w:szCs w:val="21"/>
              </w:rPr>
              <w:t xml:space="preserve">  </w:t>
            </w:r>
            <w:r>
              <w:rPr>
                <w:rFonts w:ascii="宋体" w:hAnsi="宋体" w:cs="宋体" w:hint="eastAsia"/>
                <w:kern w:val="0"/>
                <w:szCs w:val="21"/>
              </w:rPr>
              <w:t>结</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20</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左传研究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徐兴无</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21</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中国古代文学通俗文学研究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苗怀明</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22</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中国</w:t>
            </w:r>
            <w:r>
              <w:rPr>
                <w:rFonts w:ascii="宋体" w:hAnsi="宋体" w:cs="宋体"/>
                <w:kern w:val="0"/>
                <w:szCs w:val="21"/>
              </w:rPr>
              <w:t>20</w:t>
            </w:r>
            <w:r>
              <w:rPr>
                <w:rFonts w:ascii="宋体" w:hAnsi="宋体" w:cs="宋体" w:hint="eastAsia"/>
                <w:kern w:val="0"/>
                <w:szCs w:val="21"/>
              </w:rPr>
              <w:t>世纪后半叶文学选题探讨</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丁</w:t>
            </w:r>
            <w:r>
              <w:rPr>
                <w:rFonts w:ascii="宋体" w:hAnsi="宋体" w:cs="宋体"/>
                <w:kern w:val="0"/>
                <w:szCs w:val="21"/>
              </w:rPr>
              <w:t xml:space="preserve">  </w:t>
            </w:r>
            <w:r>
              <w:rPr>
                <w:rFonts w:ascii="宋体" w:hAnsi="宋体" w:cs="宋体" w:hint="eastAsia"/>
                <w:kern w:val="0"/>
                <w:szCs w:val="21"/>
              </w:rPr>
              <w:t>帆</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23</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中国现代文学思潮与人物</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沈卫威</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24</w:t>
            </w:r>
          </w:p>
        </w:tc>
        <w:tc>
          <w:tcPr>
            <w:tcW w:w="5643" w:type="dxa"/>
            <w:vAlign w:val="center"/>
          </w:tcPr>
          <w:p w:rsidR="00CE6945" w:rsidRDefault="00CE6945">
            <w:pPr>
              <w:widowControl/>
              <w:rPr>
                <w:rFonts w:ascii="宋体" w:cs="宋体"/>
                <w:kern w:val="0"/>
                <w:szCs w:val="21"/>
              </w:rPr>
            </w:pPr>
            <w:r>
              <w:rPr>
                <w:rFonts w:ascii="宋体" w:hAnsi="宋体" w:cs="宋体" w:hint="eastAsia"/>
                <w:kern w:val="0"/>
                <w:szCs w:val="21"/>
              </w:rPr>
              <w:t>多元视野中的中国现当代文学研究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王彬彬</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25</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文学传媒研究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黄发有</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26</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中国当代文学批评研究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吴</w:t>
            </w:r>
            <w:r>
              <w:rPr>
                <w:rFonts w:ascii="宋体" w:hAnsi="宋体" w:cs="宋体"/>
                <w:kern w:val="0"/>
                <w:szCs w:val="21"/>
              </w:rPr>
              <w:t xml:space="preserve">  </w:t>
            </w:r>
            <w:r>
              <w:rPr>
                <w:rFonts w:ascii="宋体" w:hAnsi="宋体" w:cs="宋体" w:hint="eastAsia"/>
                <w:kern w:val="0"/>
                <w:szCs w:val="21"/>
              </w:rPr>
              <w:t>俊</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27</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近百年中国文学学术思潮史</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张光芒</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28</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世界华人文学专题研究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刘</w:t>
            </w:r>
            <w:r>
              <w:rPr>
                <w:rFonts w:ascii="宋体" w:hAnsi="宋体" w:cs="宋体"/>
                <w:kern w:val="0"/>
                <w:szCs w:val="21"/>
              </w:rPr>
              <w:t xml:space="preserve">  </w:t>
            </w:r>
            <w:r>
              <w:rPr>
                <w:rFonts w:ascii="宋体" w:hAnsi="宋体" w:cs="宋体" w:hint="eastAsia"/>
                <w:kern w:val="0"/>
                <w:szCs w:val="21"/>
              </w:rPr>
              <w:t>俊</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29</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中国比较文学：学科史及其反思</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余</w:t>
            </w:r>
            <w:r>
              <w:rPr>
                <w:rFonts w:ascii="宋体" w:hAnsi="宋体" w:cs="宋体"/>
                <w:kern w:val="0"/>
                <w:szCs w:val="21"/>
              </w:rPr>
              <w:t xml:space="preserve">  </w:t>
            </w:r>
            <w:r>
              <w:rPr>
                <w:rFonts w:ascii="宋体" w:hAnsi="宋体" w:cs="宋体" w:hint="eastAsia"/>
                <w:kern w:val="0"/>
                <w:szCs w:val="21"/>
              </w:rPr>
              <w:t>斌</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30</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解构与英国后现代主义文学</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肖锦龙</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31</w:t>
            </w:r>
          </w:p>
        </w:tc>
        <w:tc>
          <w:tcPr>
            <w:tcW w:w="5643" w:type="dxa"/>
            <w:vAlign w:val="center"/>
          </w:tcPr>
          <w:p w:rsidR="00CE6945" w:rsidRDefault="00CE6945">
            <w:pPr>
              <w:widowControl/>
              <w:jc w:val="left"/>
              <w:rPr>
                <w:rFonts w:ascii="宋体" w:cs="宋体"/>
                <w:kern w:val="0"/>
                <w:szCs w:val="21"/>
              </w:rPr>
            </w:pPr>
            <w:r>
              <w:rPr>
                <w:rFonts w:ascii="宋体" w:hAnsi="宋体" w:cs="宋体"/>
                <w:kern w:val="0"/>
                <w:szCs w:val="21"/>
              </w:rPr>
              <w:t>20</w:t>
            </w:r>
            <w:r>
              <w:rPr>
                <w:rFonts w:ascii="宋体" w:hAnsi="宋体" w:cs="宋体" w:hint="eastAsia"/>
                <w:kern w:val="0"/>
                <w:szCs w:val="21"/>
              </w:rPr>
              <w:t>世纪中俄文学关系专题研究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董</w:t>
            </w:r>
            <w:r>
              <w:rPr>
                <w:rFonts w:ascii="宋体" w:hAnsi="宋体" w:cs="宋体"/>
                <w:kern w:val="0"/>
                <w:szCs w:val="21"/>
              </w:rPr>
              <w:t xml:space="preserve">  </w:t>
            </w:r>
            <w:r>
              <w:rPr>
                <w:rFonts w:ascii="宋体" w:hAnsi="宋体" w:cs="宋体" w:hint="eastAsia"/>
                <w:kern w:val="0"/>
                <w:szCs w:val="21"/>
              </w:rPr>
              <w:t>晓</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32</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中国古典戏剧专题研究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解玉峰</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33</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二十世纪中国戏剧思潮</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胡星亮</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lastRenderedPageBreak/>
              <w:t>34</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亚洲新电影研究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周安华</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35</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中国话剧舞台艺术发展史</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马俊山</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36</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现代戏曲理论</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吕效平</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37</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中国戏剧史研究的新路径</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傅</w:t>
            </w:r>
            <w:r>
              <w:rPr>
                <w:rFonts w:ascii="宋体" w:hAnsi="宋体" w:cs="宋体"/>
                <w:kern w:val="0"/>
                <w:szCs w:val="21"/>
              </w:rPr>
              <w:t xml:space="preserve">  </w:t>
            </w:r>
            <w:r>
              <w:rPr>
                <w:rFonts w:ascii="宋体" w:hAnsi="宋体" w:cs="宋体" w:hint="eastAsia"/>
                <w:kern w:val="0"/>
                <w:szCs w:val="21"/>
              </w:rPr>
              <w:t>谨</w:t>
            </w:r>
          </w:p>
        </w:tc>
      </w:tr>
      <w:tr w:rsidR="00CE6945">
        <w:trPr>
          <w:trHeight w:val="255"/>
        </w:trPr>
        <w:tc>
          <w:tcPr>
            <w:tcW w:w="1337" w:type="dxa"/>
            <w:vAlign w:val="center"/>
          </w:tcPr>
          <w:p w:rsidR="00CE6945" w:rsidRDefault="00CE6945">
            <w:pPr>
              <w:widowControl/>
              <w:jc w:val="left"/>
              <w:rPr>
                <w:rFonts w:ascii="宋体" w:cs="宋体"/>
                <w:kern w:val="0"/>
                <w:szCs w:val="21"/>
              </w:rPr>
            </w:pPr>
            <w:r>
              <w:rPr>
                <w:rFonts w:ascii="宋体" w:hAnsi="宋体" w:cs="宋体"/>
                <w:kern w:val="0"/>
                <w:szCs w:val="21"/>
              </w:rPr>
              <w:t>38</w:t>
            </w:r>
          </w:p>
        </w:tc>
        <w:tc>
          <w:tcPr>
            <w:tcW w:w="5643" w:type="dxa"/>
            <w:vAlign w:val="center"/>
          </w:tcPr>
          <w:p w:rsidR="00CE6945" w:rsidRDefault="00CE6945">
            <w:pPr>
              <w:widowControl/>
              <w:jc w:val="left"/>
              <w:rPr>
                <w:rFonts w:ascii="宋体" w:cs="宋体"/>
                <w:kern w:val="0"/>
                <w:szCs w:val="21"/>
              </w:rPr>
            </w:pPr>
            <w:r>
              <w:rPr>
                <w:rFonts w:ascii="宋体" w:hAnsi="宋体" w:cs="宋体" w:hint="eastAsia"/>
                <w:kern w:val="0"/>
                <w:szCs w:val="21"/>
              </w:rPr>
              <w:t>中国电视剧专题研究</w:t>
            </w:r>
          </w:p>
        </w:tc>
        <w:tc>
          <w:tcPr>
            <w:tcW w:w="1542" w:type="dxa"/>
            <w:vAlign w:val="center"/>
          </w:tcPr>
          <w:p w:rsidR="00CE6945" w:rsidRDefault="00CE6945">
            <w:pPr>
              <w:widowControl/>
              <w:jc w:val="center"/>
              <w:rPr>
                <w:rFonts w:ascii="宋体" w:cs="宋体"/>
                <w:kern w:val="0"/>
                <w:szCs w:val="21"/>
              </w:rPr>
            </w:pPr>
            <w:r>
              <w:rPr>
                <w:rFonts w:ascii="宋体" w:hAnsi="宋体" w:cs="宋体" w:hint="eastAsia"/>
                <w:kern w:val="0"/>
                <w:szCs w:val="21"/>
              </w:rPr>
              <w:t>李兴阳</w:t>
            </w:r>
          </w:p>
        </w:tc>
      </w:tr>
    </w:tbl>
    <w:p w:rsidR="00CE6945" w:rsidRDefault="00CE6945">
      <w:bookmarkStart w:id="0" w:name="_GoBack"/>
      <w:bookmarkEnd w:id="0"/>
    </w:p>
    <w:p w:rsidR="00CE6945" w:rsidRDefault="00CE6945">
      <w:pPr>
        <w:widowControl/>
        <w:snapToGrid w:val="0"/>
        <w:spacing w:line="480" w:lineRule="auto"/>
        <w:rPr>
          <w:kern w:val="0"/>
          <w:szCs w:val="21"/>
        </w:rPr>
      </w:pPr>
    </w:p>
    <w:p w:rsidR="00CE6945" w:rsidRDefault="00CE6945" w:rsidP="007F38F0">
      <w:pPr>
        <w:widowControl/>
        <w:snapToGrid w:val="0"/>
        <w:rPr>
          <w:kern w:val="0"/>
          <w:szCs w:val="21"/>
        </w:rPr>
      </w:pPr>
      <w:r>
        <w:rPr>
          <w:rFonts w:ascii="宋体" w:hAnsi="宋体" w:hint="eastAsia"/>
          <w:b/>
          <w:bCs/>
          <w:kern w:val="0"/>
          <w:sz w:val="36"/>
          <w:szCs w:val="36"/>
        </w:rPr>
        <w:t>附：参考书目</w:t>
      </w:r>
    </w:p>
    <w:p w:rsidR="00CE6945" w:rsidRDefault="00CE6945">
      <w:pPr>
        <w:rPr>
          <w:rFonts w:ascii="宋体"/>
          <w:b/>
          <w:sz w:val="28"/>
          <w:szCs w:val="28"/>
        </w:rPr>
      </w:pPr>
      <w:r>
        <w:rPr>
          <w:rFonts w:ascii="宋体" w:hAnsi="宋体" w:hint="eastAsia"/>
          <w:b/>
          <w:sz w:val="28"/>
          <w:szCs w:val="28"/>
        </w:rPr>
        <w:t>戏剧与影视学专业</w:t>
      </w:r>
    </w:p>
    <w:p w:rsidR="00CE6945" w:rsidRDefault="00CE6945">
      <w:pPr>
        <w:rPr>
          <w:rFonts w:ascii="宋体"/>
          <w:szCs w:val="21"/>
        </w:rPr>
      </w:pPr>
      <w:r>
        <w:rPr>
          <w:rFonts w:ascii="宋体" w:hAnsi="宋体"/>
          <w:szCs w:val="21"/>
        </w:rPr>
        <w:t>*1</w:t>
      </w:r>
      <w:r>
        <w:rPr>
          <w:rFonts w:ascii="宋体" w:hAnsi="宋体" w:hint="eastAsia"/>
          <w:szCs w:val="21"/>
        </w:rPr>
        <w:t>、</w:t>
      </w:r>
      <w:r>
        <w:rPr>
          <w:rFonts w:ascii="宋体" w:hAnsi="宋体"/>
          <w:szCs w:val="21"/>
        </w:rPr>
        <w:t>[</w:t>
      </w:r>
      <w:r>
        <w:rPr>
          <w:rFonts w:ascii="宋体" w:hAnsi="宋体" w:hint="eastAsia"/>
          <w:szCs w:val="21"/>
        </w:rPr>
        <w:t>古希腊</w:t>
      </w:r>
      <w:r>
        <w:rPr>
          <w:rFonts w:ascii="宋体" w:hAnsi="宋体"/>
          <w:szCs w:val="21"/>
        </w:rPr>
        <w:t>]</w:t>
      </w:r>
      <w:r>
        <w:rPr>
          <w:rFonts w:ascii="宋体" w:hAnsi="宋体" w:hint="eastAsia"/>
          <w:szCs w:val="21"/>
        </w:rPr>
        <w:t>亚里士多德：《诗学》，陈中梅译，商务印书馆</w:t>
      </w:r>
    </w:p>
    <w:p w:rsidR="00CE6945" w:rsidRDefault="00CE6945">
      <w:pPr>
        <w:rPr>
          <w:rFonts w:ascii="宋体"/>
          <w:szCs w:val="21"/>
        </w:rPr>
      </w:pPr>
      <w:r>
        <w:rPr>
          <w:rFonts w:ascii="宋体" w:hAnsi="宋体"/>
          <w:szCs w:val="21"/>
        </w:rPr>
        <w:t>*2</w:t>
      </w:r>
      <w:r>
        <w:rPr>
          <w:rFonts w:ascii="宋体" w:hAnsi="宋体" w:hint="eastAsia"/>
          <w:szCs w:val="21"/>
        </w:rPr>
        <w:t>、</w:t>
      </w:r>
      <w:r>
        <w:rPr>
          <w:rFonts w:ascii="宋体" w:hAnsi="宋体"/>
          <w:szCs w:val="21"/>
        </w:rPr>
        <w:t>[</w:t>
      </w:r>
      <w:r>
        <w:rPr>
          <w:rFonts w:ascii="宋体" w:hAnsi="宋体" w:hint="eastAsia"/>
          <w:szCs w:val="21"/>
        </w:rPr>
        <w:t>德</w:t>
      </w:r>
      <w:r>
        <w:rPr>
          <w:rFonts w:ascii="宋体" w:hAnsi="宋体"/>
          <w:szCs w:val="21"/>
        </w:rPr>
        <w:t>]</w:t>
      </w:r>
      <w:r>
        <w:rPr>
          <w:rFonts w:ascii="宋体" w:hAnsi="宋体" w:hint="eastAsia"/>
          <w:szCs w:val="21"/>
        </w:rPr>
        <w:t>黑格尔：《美学》，朱光潜译，商务印书馆</w:t>
      </w:r>
    </w:p>
    <w:p w:rsidR="00CE6945" w:rsidRDefault="00CE6945">
      <w:pPr>
        <w:rPr>
          <w:rFonts w:ascii="宋体"/>
          <w:szCs w:val="21"/>
        </w:rPr>
      </w:pPr>
      <w:r>
        <w:rPr>
          <w:rFonts w:ascii="宋体" w:hAnsi="宋体"/>
          <w:szCs w:val="21"/>
        </w:rPr>
        <w:t>3</w:t>
      </w:r>
      <w:r>
        <w:rPr>
          <w:rFonts w:ascii="宋体" w:hAnsi="宋体" w:hint="eastAsia"/>
          <w:szCs w:val="21"/>
        </w:rPr>
        <w:t>、</w:t>
      </w:r>
      <w:r>
        <w:rPr>
          <w:rFonts w:ascii="宋体" w:hAnsi="宋体"/>
          <w:szCs w:val="21"/>
        </w:rPr>
        <w:t>[</w:t>
      </w:r>
      <w:r>
        <w:rPr>
          <w:rFonts w:ascii="宋体" w:hAnsi="宋体" w:hint="eastAsia"/>
          <w:szCs w:val="21"/>
        </w:rPr>
        <w:t>美</w:t>
      </w:r>
      <w:r>
        <w:rPr>
          <w:rFonts w:ascii="宋体" w:hAnsi="宋体"/>
          <w:szCs w:val="21"/>
        </w:rPr>
        <w:t>]</w:t>
      </w:r>
      <w:r>
        <w:rPr>
          <w:rFonts w:ascii="宋体" w:hAnsi="宋体" w:hint="eastAsia"/>
          <w:szCs w:val="21"/>
        </w:rPr>
        <w:t>苏珊·朗格：《情感与形式》，刘大基等译，中国社会科学出版社</w:t>
      </w:r>
    </w:p>
    <w:p w:rsidR="00CE6945" w:rsidRDefault="00CE6945">
      <w:pPr>
        <w:rPr>
          <w:rFonts w:ascii="宋体"/>
          <w:szCs w:val="21"/>
        </w:rPr>
      </w:pPr>
      <w:r>
        <w:rPr>
          <w:rFonts w:ascii="宋体" w:hAnsi="宋体"/>
          <w:szCs w:val="21"/>
        </w:rPr>
        <w:t>4</w:t>
      </w:r>
      <w:r>
        <w:rPr>
          <w:rFonts w:ascii="宋体" w:hAnsi="宋体" w:hint="eastAsia"/>
          <w:szCs w:val="21"/>
        </w:rPr>
        <w:t>、</w:t>
      </w:r>
      <w:r>
        <w:rPr>
          <w:rFonts w:ascii="宋体" w:hAnsi="宋体"/>
          <w:szCs w:val="21"/>
        </w:rPr>
        <w:t>[</w:t>
      </w:r>
      <w:r>
        <w:rPr>
          <w:rFonts w:ascii="宋体" w:hAnsi="宋体" w:hint="eastAsia"/>
          <w:szCs w:val="21"/>
        </w:rPr>
        <w:t>德</w:t>
      </w:r>
      <w:r>
        <w:rPr>
          <w:rFonts w:ascii="宋体" w:hAnsi="宋体"/>
          <w:szCs w:val="21"/>
        </w:rPr>
        <w:t>]H-G</w:t>
      </w:r>
      <w:r>
        <w:rPr>
          <w:rFonts w:ascii="宋体" w:hAnsi="宋体" w:hint="eastAsia"/>
          <w:szCs w:val="21"/>
        </w:rPr>
        <w:t>·伽达默尔：《真理与方法》，洪汉鼎译，上海译文出版社</w:t>
      </w:r>
    </w:p>
    <w:p w:rsidR="00CE6945" w:rsidRDefault="00CE6945">
      <w:pPr>
        <w:rPr>
          <w:rFonts w:ascii="宋体"/>
          <w:szCs w:val="21"/>
        </w:rPr>
      </w:pPr>
      <w:r>
        <w:rPr>
          <w:rFonts w:ascii="宋体" w:hAnsi="宋体"/>
          <w:szCs w:val="21"/>
        </w:rPr>
        <w:t>5</w:t>
      </w:r>
      <w:r>
        <w:rPr>
          <w:rFonts w:ascii="宋体" w:hAnsi="宋体" w:hint="eastAsia"/>
          <w:szCs w:val="21"/>
        </w:rPr>
        <w:t>、朱光潜：《悲剧心理学》，人民文学出版社</w:t>
      </w:r>
    </w:p>
    <w:p w:rsidR="00CE6945" w:rsidRDefault="00CE6945">
      <w:pPr>
        <w:rPr>
          <w:rFonts w:ascii="宋体"/>
          <w:szCs w:val="21"/>
        </w:rPr>
      </w:pPr>
      <w:r>
        <w:rPr>
          <w:rFonts w:ascii="宋体" w:hAnsi="宋体"/>
          <w:szCs w:val="21"/>
        </w:rPr>
        <w:t>*6</w:t>
      </w:r>
      <w:r>
        <w:rPr>
          <w:rFonts w:ascii="宋体" w:hAnsi="宋体" w:hint="eastAsia"/>
          <w:szCs w:val="21"/>
        </w:rPr>
        <w:t>、李渔：《闲情偶寄》，上海古籍出版社</w:t>
      </w:r>
    </w:p>
    <w:p w:rsidR="00CE6945" w:rsidRDefault="00CE6945">
      <w:pPr>
        <w:rPr>
          <w:rFonts w:ascii="宋体"/>
          <w:szCs w:val="21"/>
        </w:rPr>
      </w:pPr>
      <w:r>
        <w:rPr>
          <w:rFonts w:ascii="宋体" w:hAnsi="宋体"/>
          <w:szCs w:val="21"/>
        </w:rPr>
        <w:t>7</w:t>
      </w:r>
      <w:r>
        <w:rPr>
          <w:rFonts w:ascii="宋体" w:hAnsi="宋体" w:hint="eastAsia"/>
          <w:szCs w:val="21"/>
        </w:rPr>
        <w:t>、冯友兰：《中国哲学简史》，北京大学出版社</w:t>
      </w:r>
    </w:p>
    <w:p w:rsidR="00CE6945" w:rsidRDefault="00CE6945">
      <w:pPr>
        <w:rPr>
          <w:rFonts w:ascii="宋体"/>
          <w:szCs w:val="21"/>
        </w:rPr>
      </w:pPr>
      <w:r>
        <w:rPr>
          <w:rFonts w:ascii="宋体" w:hAnsi="宋体"/>
          <w:szCs w:val="21"/>
        </w:rPr>
        <w:t>8</w:t>
      </w:r>
      <w:r>
        <w:rPr>
          <w:rFonts w:ascii="宋体" w:hAnsi="宋体" w:hint="eastAsia"/>
          <w:szCs w:val="21"/>
        </w:rPr>
        <w:t>、郭绍虞主编：《中国历代文论选》（</w:t>
      </w:r>
      <w:r>
        <w:rPr>
          <w:rFonts w:ascii="宋体" w:hAnsi="宋体"/>
          <w:szCs w:val="21"/>
        </w:rPr>
        <w:t>1</w:t>
      </w:r>
      <w:r>
        <w:rPr>
          <w:rFonts w:ascii="宋体" w:hAnsi="宋体" w:hint="eastAsia"/>
          <w:szCs w:val="21"/>
        </w:rPr>
        <w:t>卷本），上海古籍出版社</w:t>
      </w:r>
    </w:p>
    <w:p w:rsidR="00CE6945" w:rsidRDefault="00CE6945">
      <w:pPr>
        <w:rPr>
          <w:rFonts w:ascii="宋体"/>
          <w:szCs w:val="21"/>
        </w:rPr>
      </w:pPr>
      <w:r>
        <w:rPr>
          <w:rFonts w:ascii="宋体" w:hAnsi="宋体"/>
          <w:szCs w:val="21"/>
        </w:rPr>
        <w:t>9</w:t>
      </w:r>
      <w:r>
        <w:rPr>
          <w:rFonts w:ascii="宋体" w:hAnsi="宋体" w:hint="eastAsia"/>
          <w:szCs w:val="21"/>
        </w:rPr>
        <w:t>、宗白华：《艺境》，商务印书馆</w:t>
      </w:r>
    </w:p>
    <w:p w:rsidR="00CE6945" w:rsidRDefault="00CE6945">
      <w:pPr>
        <w:rPr>
          <w:rFonts w:ascii="宋体"/>
          <w:szCs w:val="21"/>
        </w:rPr>
      </w:pPr>
      <w:r>
        <w:rPr>
          <w:rFonts w:ascii="宋体" w:hAnsi="宋体"/>
          <w:szCs w:val="21"/>
        </w:rPr>
        <w:t>10</w:t>
      </w:r>
      <w:r>
        <w:rPr>
          <w:rFonts w:ascii="宋体" w:hAnsi="宋体" w:hint="eastAsia"/>
          <w:szCs w:val="21"/>
        </w:rPr>
        <w:t>、李泽厚：《中国近代思想史论》，安徽文艺出版社</w:t>
      </w:r>
    </w:p>
    <w:p w:rsidR="00CE6945" w:rsidRDefault="00CE6945">
      <w:pPr>
        <w:rPr>
          <w:rFonts w:ascii="宋体"/>
          <w:szCs w:val="21"/>
        </w:rPr>
      </w:pPr>
      <w:r>
        <w:rPr>
          <w:rFonts w:ascii="宋体" w:hAnsi="宋体"/>
          <w:szCs w:val="21"/>
        </w:rPr>
        <w:t>11</w:t>
      </w:r>
      <w:r>
        <w:rPr>
          <w:rFonts w:ascii="宋体" w:hAnsi="宋体" w:hint="eastAsia"/>
          <w:szCs w:val="21"/>
        </w:rPr>
        <w:t>、王国维：《宋元戏曲史》，上海古籍出版社</w:t>
      </w:r>
    </w:p>
    <w:p w:rsidR="00CE6945" w:rsidRDefault="00CE6945">
      <w:pPr>
        <w:rPr>
          <w:rFonts w:ascii="宋体"/>
          <w:szCs w:val="21"/>
        </w:rPr>
      </w:pPr>
      <w:r>
        <w:rPr>
          <w:rFonts w:ascii="宋体" w:hAnsi="宋体"/>
          <w:szCs w:val="21"/>
        </w:rPr>
        <w:t>*12</w:t>
      </w:r>
      <w:r>
        <w:rPr>
          <w:rFonts w:ascii="宋体" w:hAnsi="宋体" w:hint="eastAsia"/>
          <w:szCs w:val="21"/>
        </w:rPr>
        <w:t>、周贻白：《中国戏剧史长编》，人民文学出版社</w:t>
      </w:r>
    </w:p>
    <w:p w:rsidR="00CE6945" w:rsidRDefault="00CE6945">
      <w:pPr>
        <w:rPr>
          <w:rFonts w:ascii="宋体"/>
          <w:szCs w:val="21"/>
        </w:rPr>
      </w:pPr>
      <w:r>
        <w:rPr>
          <w:rFonts w:ascii="宋体" w:hAnsi="宋体"/>
          <w:szCs w:val="21"/>
        </w:rPr>
        <w:t>13</w:t>
      </w:r>
      <w:r>
        <w:rPr>
          <w:rFonts w:ascii="宋体" w:hAnsi="宋体" w:hint="eastAsia"/>
          <w:szCs w:val="21"/>
        </w:rPr>
        <w:t>、钱南扬：《戏文概论》，上海古籍出版社</w:t>
      </w:r>
    </w:p>
    <w:p w:rsidR="00CE6945" w:rsidRDefault="00CE6945">
      <w:pPr>
        <w:rPr>
          <w:rFonts w:ascii="宋体"/>
          <w:szCs w:val="21"/>
        </w:rPr>
      </w:pPr>
      <w:r>
        <w:rPr>
          <w:rFonts w:ascii="宋体" w:hAnsi="宋体"/>
          <w:szCs w:val="21"/>
        </w:rPr>
        <w:t>*14</w:t>
      </w:r>
      <w:r>
        <w:rPr>
          <w:rFonts w:ascii="宋体" w:hAnsi="宋体" w:hint="eastAsia"/>
          <w:szCs w:val="21"/>
        </w:rPr>
        <w:t>、张庚：《戏曲艺术论》，中国戏剧出版社</w:t>
      </w:r>
    </w:p>
    <w:p w:rsidR="00CE6945" w:rsidRDefault="00CE6945">
      <w:pPr>
        <w:rPr>
          <w:rFonts w:ascii="宋体"/>
          <w:szCs w:val="21"/>
        </w:rPr>
      </w:pPr>
      <w:r>
        <w:rPr>
          <w:rFonts w:ascii="宋体" w:hAnsi="宋体"/>
          <w:szCs w:val="21"/>
        </w:rPr>
        <w:t>15</w:t>
      </w:r>
      <w:r>
        <w:rPr>
          <w:rFonts w:ascii="宋体" w:hAnsi="宋体" w:hint="eastAsia"/>
          <w:szCs w:val="21"/>
        </w:rPr>
        <w:t>、洛地：《戏曲与浙江》，浙江人民出版社</w:t>
      </w:r>
    </w:p>
    <w:p w:rsidR="00CE6945" w:rsidRDefault="00CE6945">
      <w:pPr>
        <w:rPr>
          <w:rFonts w:ascii="宋体"/>
          <w:szCs w:val="21"/>
        </w:rPr>
      </w:pPr>
      <w:r>
        <w:rPr>
          <w:rFonts w:ascii="宋体" w:hAnsi="宋体"/>
          <w:szCs w:val="21"/>
        </w:rPr>
        <w:t>16</w:t>
      </w:r>
      <w:r>
        <w:rPr>
          <w:rFonts w:ascii="宋体" w:hAnsi="宋体" w:hint="eastAsia"/>
          <w:szCs w:val="21"/>
        </w:rPr>
        <w:t>、郑雪来编：《斯坦尼斯拉夫斯基论导演与表演》，中国戏剧出版社</w:t>
      </w:r>
    </w:p>
    <w:p w:rsidR="00CE6945" w:rsidRDefault="00CE6945">
      <w:pPr>
        <w:rPr>
          <w:rFonts w:ascii="宋体"/>
          <w:szCs w:val="21"/>
        </w:rPr>
      </w:pPr>
      <w:r>
        <w:rPr>
          <w:rFonts w:ascii="宋体" w:hAnsi="宋体"/>
          <w:szCs w:val="21"/>
        </w:rPr>
        <w:t>*17</w:t>
      </w:r>
      <w:r>
        <w:rPr>
          <w:rFonts w:ascii="宋体" w:hAnsi="宋体" w:hint="eastAsia"/>
          <w:szCs w:val="21"/>
        </w:rPr>
        <w:t>、</w:t>
      </w:r>
      <w:r>
        <w:rPr>
          <w:rFonts w:ascii="宋体" w:hAnsi="宋体"/>
          <w:szCs w:val="21"/>
        </w:rPr>
        <w:t>[</w:t>
      </w:r>
      <w:r>
        <w:rPr>
          <w:rFonts w:ascii="宋体" w:hAnsi="宋体" w:hint="eastAsia"/>
          <w:szCs w:val="21"/>
        </w:rPr>
        <w:t>英</w:t>
      </w:r>
      <w:r>
        <w:rPr>
          <w:rFonts w:ascii="宋体" w:hAnsi="宋体"/>
          <w:szCs w:val="21"/>
        </w:rPr>
        <w:t>]J</w:t>
      </w:r>
      <w:r>
        <w:rPr>
          <w:rFonts w:ascii="宋体" w:hAnsi="宋体" w:hint="eastAsia"/>
          <w:szCs w:val="21"/>
        </w:rPr>
        <w:t>·</w:t>
      </w:r>
      <w:r>
        <w:rPr>
          <w:rFonts w:ascii="宋体" w:hAnsi="宋体"/>
          <w:szCs w:val="21"/>
        </w:rPr>
        <w:t>L</w:t>
      </w:r>
      <w:r>
        <w:rPr>
          <w:rFonts w:ascii="宋体" w:hAnsi="宋体" w:hint="eastAsia"/>
          <w:szCs w:val="21"/>
        </w:rPr>
        <w:t>·斯泰恩：《现代戏剧的理论与实践》（</w:t>
      </w:r>
      <w:r>
        <w:rPr>
          <w:rFonts w:ascii="宋体" w:hAnsi="宋体"/>
          <w:szCs w:val="21"/>
        </w:rPr>
        <w:t>1-3</w:t>
      </w:r>
      <w:r>
        <w:rPr>
          <w:rFonts w:ascii="宋体" w:hAnsi="宋体" w:hint="eastAsia"/>
          <w:szCs w:val="21"/>
        </w:rPr>
        <w:t>），周诚等译，中国戏剧出版社</w:t>
      </w:r>
    </w:p>
    <w:p w:rsidR="00CE6945" w:rsidRDefault="00CE6945">
      <w:pPr>
        <w:rPr>
          <w:rFonts w:ascii="宋体"/>
          <w:szCs w:val="21"/>
        </w:rPr>
      </w:pPr>
      <w:r>
        <w:rPr>
          <w:rFonts w:ascii="宋体" w:hAnsi="宋体"/>
          <w:szCs w:val="21"/>
        </w:rPr>
        <w:t>18</w:t>
      </w:r>
      <w:r>
        <w:rPr>
          <w:rFonts w:ascii="宋体" w:hAnsi="宋体" w:hint="eastAsia"/>
          <w:szCs w:val="21"/>
        </w:rPr>
        <w:t>、</w:t>
      </w:r>
      <w:r>
        <w:rPr>
          <w:rFonts w:ascii="宋体" w:hAnsi="宋体"/>
          <w:szCs w:val="21"/>
        </w:rPr>
        <w:t>[</w:t>
      </w:r>
      <w:r>
        <w:rPr>
          <w:rFonts w:ascii="宋体" w:hAnsi="宋体" w:hint="eastAsia"/>
          <w:szCs w:val="21"/>
        </w:rPr>
        <w:t>德</w:t>
      </w:r>
      <w:r>
        <w:rPr>
          <w:rFonts w:ascii="宋体" w:hAnsi="宋体"/>
          <w:szCs w:val="21"/>
        </w:rPr>
        <w:t>]</w:t>
      </w:r>
      <w:r>
        <w:rPr>
          <w:rFonts w:ascii="宋体" w:hAnsi="宋体" w:hint="eastAsia"/>
          <w:szCs w:val="21"/>
        </w:rPr>
        <w:t>彼得·斯丛狄：《现代戏剧理论》，王建译，北京大学出版社</w:t>
      </w:r>
    </w:p>
    <w:p w:rsidR="00CE6945" w:rsidRDefault="00CE6945">
      <w:pPr>
        <w:rPr>
          <w:rFonts w:ascii="宋体"/>
          <w:szCs w:val="21"/>
        </w:rPr>
      </w:pPr>
      <w:r>
        <w:rPr>
          <w:rFonts w:ascii="宋体" w:hAnsi="宋体"/>
          <w:szCs w:val="21"/>
        </w:rPr>
        <w:t>*19</w:t>
      </w:r>
      <w:r>
        <w:rPr>
          <w:rFonts w:ascii="宋体" w:hAnsi="宋体" w:hint="eastAsia"/>
          <w:szCs w:val="21"/>
        </w:rPr>
        <w:t>、陈白尘、董健主编：《中国现代戏剧史稿》，中国戏剧出版社</w:t>
      </w:r>
    </w:p>
    <w:p w:rsidR="00CE6945" w:rsidRDefault="00CE6945">
      <w:pPr>
        <w:rPr>
          <w:rFonts w:ascii="宋体"/>
          <w:szCs w:val="21"/>
        </w:rPr>
      </w:pPr>
      <w:r>
        <w:rPr>
          <w:rFonts w:ascii="宋体" w:hAnsi="宋体"/>
          <w:szCs w:val="21"/>
        </w:rPr>
        <w:t>20</w:t>
      </w:r>
      <w:r>
        <w:rPr>
          <w:rFonts w:ascii="宋体" w:hAnsi="宋体" w:hint="eastAsia"/>
          <w:szCs w:val="21"/>
        </w:rPr>
        <w:t>、谭霈生：《论戏剧性》，北京大学出版社</w:t>
      </w:r>
    </w:p>
    <w:p w:rsidR="00CE6945" w:rsidRDefault="00CE6945">
      <w:pPr>
        <w:rPr>
          <w:rFonts w:ascii="宋体"/>
          <w:szCs w:val="21"/>
        </w:rPr>
      </w:pPr>
      <w:r>
        <w:rPr>
          <w:rFonts w:ascii="宋体" w:hAnsi="宋体"/>
          <w:szCs w:val="21"/>
        </w:rPr>
        <w:t>21</w:t>
      </w:r>
      <w:r>
        <w:rPr>
          <w:rFonts w:ascii="宋体" w:hAnsi="宋体" w:hint="eastAsia"/>
          <w:szCs w:val="21"/>
        </w:rPr>
        <w:t>、</w:t>
      </w:r>
      <w:r>
        <w:rPr>
          <w:rFonts w:ascii="宋体" w:hAnsi="宋体"/>
          <w:szCs w:val="21"/>
        </w:rPr>
        <w:t>[</w:t>
      </w:r>
      <w:r>
        <w:rPr>
          <w:rFonts w:ascii="宋体" w:hAnsi="宋体" w:hint="eastAsia"/>
          <w:szCs w:val="21"/>
        </w:rPr>
        <w:t>匈</w:t>
      </w:r>
      <w:r>
        <w:rPr>
          <w:rFonts w:ascii="宋体" w:hAnsi="宋体"/>
          <w:szCs w:val="21"/>
        </w:rPr>
        <w:t>]</w:t>
      </w:r>
      <w:r>
        <w:rPr>
          <w:rFonts w:ascii="宋体" w:hAnsi="宋体" w:hint="eastAsia"/>
          <w:szCs w:val="21"/>
        </w:rPr>
        <w:t>巴拉兹·贝拉：《电影美学》，何力译，中国电影出版社</w:t>
      </w:r>
    </w:p>
    <w:p w:rsidR="00CE6945" w:rsidRDefault="00CE6945">
      <w:pPr>
        <w:rPr>
          <w:rFonts w:ascii="宋体"/>
          <w:szCs w:val="21"/>
        </w:rPr>
      </w:pPr>
      <w:r>
        <w:rPr>
          <w:rFonts w:ascii="宋体" w:hAnsi="宋体"/>
          <w:szCs w:val="21"/>
        </w:rPr>
        <w:t>22</w:t>
      </w:r>
      <w:r>
        <w:rPr>
          <w:rFonts w:ascii="宋体" w:hAnsi="宋体" w:hint="eastAsia"/>
          <w:szCs w:val="21"/>
        </w:rPr>
        <w:t>、</w:t>
      </w:r>
      <w:r>
        <w:rPr>
          <w:rFonts w:ascii="宋体" w:hAnsi="宋体"/>
          <w:szCs w:val="21"/>
        </w:rPr>
        <w:t>[</w:t>
      </w:r>
      <w:r>
        <w:rPr>
          <w:rFonts w:ascii="宋体" w:hAnsi="宋体" w:hint="eastAsia"/>
          <w:szCs w:val="21"/>
        </w:rPr>
        <w:t>法</w:t>
      </w:r>
      <w:r>
        <w:rPr>
          <w:rFonts w:ascii="宋体" w:hAnsi="宋体"/>
          <w:szCs w:val="21"/>
        </w:rPr>
        <w:t>]</w:t>
      </w:r>
      <w:r>
        <w:rPr>
          <w:rFonts w:ascii="宋体" w:hAnsi="宋体" w:hint="eastAsia"/>
          <w:szCs w:val="21"/>
        </w:rPr>
        <w:t>克里斯蒂安·麦茨：《想象的能指》，王志敏译，中国广播电视出版社</w:t>
      </w:r>
    </w:p>
    <w:p w:rsidR="00CE6945" w:rsidRDefault="00CE6945">
      <w:pPr>
        <w:rPr>
          <w:rFonts w:ascii="宋体"/>
          <w:szCs w:val="21"/>
        </w:rPr>
      </w:pPr>
      <w:r>
        <w:rPr>
          <w:rFonts w:ascii="宋体" w:hAnsi="宋体"/>
          <w:szCs w:val="21"/>
        </w:rPr>
        <w:t>*23</w:t>
      </w:r>
      <w:r>
        <w:rPr>
          <w:rFonts w:ascii="宋体" w:hAnsi="宋体" w:hint="eastAsia"/>
          <w:szCs w:val="21"/>
        </w:rPr>
        <w:t>、李恒基、杨远婴编：《外国电影理论文选》，三联书店</w:t>
      </w:r>
    </w:p>
    <w:p w:rsidR="00CE6945" w:rsidRDefault="00CE6945">
      <w:pPr>
        <w:rPr>
          <w:rFonts w:ascii="宋体"/>
          <w:szCs w:val="21"/>
        </w:rPr>
      </w:pPr>
      <w:r>
        <w:rPr>
          <w:rFonts w:ascii="宋体" w:hAnsi="宋体"/>
          <w:szCs w:val="21"/>
        </w:rPr>
        <w:t>24</w:t>
      </w:r>
      <w:r>
        <w:rPr>
          <w:rFonts w:ascii="宋体" w:hAnsi="宋体" w:hint="eastAsia"/>
          <w:szCs w:val="21"/>
        </w:rPr>
        <w:t>、丁亚平主编：《百年中国电影理论文选》，文化艺术出版社</w:t>
      </w:r>
    </w:p>
    <w:p w:rsidR="00CE6945" w:rsidRDefault="00CE6945">
      <w:pPr>
        <w:rPr>
          <w:rFonts w:ascii="宋体"/>
          <w:szCs w:val="21"/>
        </w:rPr>
      </w:pPr>
      <w:r>
        <w:rPr>
          <w:rFonts w:ascii="宋体" w:hAnsi="宋体"/>
          <w:szCs w:val="21"/>
        </w:rPr>
        <w:t>*25</w:t>
      </w:r>
      <w:r>
        <w:rPr>
          <w:rFonts w:ascii="宋体" w:hAnsi="宋体" w:hint="eastAsia"/>
          <w:szCs w:val="21"/>
        </w:rPr>
        <w:t>、</w:t>
      </w:r>
      <w:r>
        <w:rPr>
          <w:rFonts w:ascii="宋体" w:hAnsi="宋体"/>
          <w:szCs w:val="21"/>
        </w:rPr>
        <w:t>[</w:t>
      </w:r>
      <w:r>
        <w:rPr>
          <w:rFonts w:ascii="宋体" w:hAnsi="宋体" w:hint="eastAsia"/>
          <w:szCs w:val="21"/>
        </w:rPr>
        <w:t>法</w:t>
      </w:r>
      <w:r>
        <w:rPr>
          <w:rFonts w:ascii="宋体" w:hAnsi="宋体"/>
          <w:szCs w:val="21"/>
        </w:rPr>
        <w:t>]</w:t>
      </w:r>
      <w:r>
        <w:rPr>
          <w:rFonts w:ascii="宋体" w:hAnsi="宋体" w:hint="eastAsia"/>
          <w:szCs w:val="21"/>
        </w:rPr>
        <w:t>乔治·萨杜尔：《世界电影史》，徐昭、胡承伟译，中国电影出版社</w:t>
      </w:r>
    </w:p>
    <w:p w:rsidR="00CE6945" w:rsidRDefault="00CE6945">
      <w:pPr>
        <w:rPr>
          <w:rFonts w:ascii="宋体"/>
          <w:szCs w:val="21"/>
        </w:rPr>
      </w:pPr>
      <w:r>
        <w:rPr>
          <w:rFonts w:ascii="宋体" w:hAnsi="宋体"/>
          <w:szCs w:val="21"/>
        </w:rPr>
        <w:t>26</w:t>
      </w:r>
      <w:r>
        <w:rPr>
          <w:rFonts w:ascii="宋体" w:hAnsi="宋体" w:hint="eastAsia"/>
          <w:szCs w:val="21"/>
        </w:rPr>
        <w:t>、程季华主编：《中国电影发展史》，中国电影出版社</w:t>
      </w:r>
    </w:p>
    <w:p w:rsidR="00CE6945" w:rsidRDefault="00CE6945">
      <w:pPr>
        <w:rPr>
          <w:rFonts w:ascii="宋体"/>
          <w:szCs w:val="21"/>
        </w:rPr>
      </w:pPr>
      <w:r>
        <w:rPr>
          <w:rFonts w:ascii="宋体" w:hAnsi="宋体"/>
          <w:szCs w:val="21"/>
        </w:rPr>
        <w:t>*27</w:t>
      </w:r>
      <w:r>
        <w:rPr>
          <w:rFonts w:ascii="宋体" w:hAnsi="宋体" w:hint="eastAsia"/>
          <w:szCs w:val="21"/>
        </w:rPr>
        <w:t>、</w:t>
      </w:r>
      <w:r>
        <w:rPr>
          <w:rFonts w:ascii="宋体" w:hAnsi="宋体"/>
          <w:szCs w:val="21"/>
        </w:rPr>
        <w:t>[</w:t>
      </w:r>
      <w:r>
        <w:rPr>
          <w:rFonts w:ascii="宋体" w:hAnsi="宋体" w:hint="eastAsia"/>
          <w:szCs w:val="21"/>
        </w:rPr>
        <w:t>加</w:t>
      </w:r>
      <w:r>
        <w:rPr>
          <w:rFonts w:ascii="宋体" w:hAnsi="宋体"/>
          <w:szCs w:val="21"/>
        </w:rPr>
        <w:t>]</w:t>
      </w:r>
      <w:r>
        <w:rPr>
          <w:rFonts w:ascii="宋体" w:hAnsi="宋体" w:hint="eastAsia"/>
          <w:szCs w:val="21"/>
        </w:rPr>
        <w:t>马歇尔·麦克卢汉：《理解媒介》，何道宽译，译林出版社</w:t>
      </w:r>
    </w:p>
    <w:p w:rsidR="00CE6945" w:rsidRDefault="00CE6945">
      <w:pPr>
        <w:rPr>
          <w:rFonts w:ascii="宋体"/>
          <w:szCs w:val="21"/>
        </w:rPr>
      </w:pPr>
      <w:r>
        <w:rPr>
          <w:rFonts w:ascii="宋体" w:hAnsi="宋体"/>
          <w:szCs w:val="21"/>
        </w:rPr>
        <w:t>28</w:t>
      </w:r>
      <w:r>
        <w:rPr>
          <w:rFonts w:ascii="宋体" w:hAnsi="宋体" w:hint="eastAsia"/>
          <w:szCs w:val="21"/>
        </w:rPr>
        <w:t>、</w:t>
      </w:r>
      <w:r>
        <w:rPr>
          <w:rFonts w:ascii="宋体" w:hAnsi="宋体"/>
          <w:szCs w:val="21"/>
        </w:rPr>
        <w:t>[</w:t>
      </w:r>
      <w:r>
        <w:rPr>
          <w:rFonts w:ascii="宋体" w:hAnsi="宋体" w:hint="eastAsia"/>
          <w:szCs w:val="21"/>
        </w:rPr>
        <w:t>美</w:t>
      </w:r>
      <w:r>
        <w:rPr>
          <w:rFonts w:ascii="宋体" w:hAnsi="宋体"/>
          <w:szCs w:val="21"/>
        </w:rPr>
        <w:t>]</w:t>
      </w:r>
      <w:r>
        <w:rPr>
          <w:rFonts w:ascii="宋体" w:hAnsi="宋体" w:hint="eastAsia"/>
          <w:szCs w:val="21"/>
        </w:rPr>
        <w:t>劳拉·斯蒙福德：《午后的爱情与意识形态》，林鹤译，中央编译出版社</w:t>
      </w:r>
    </w:p>
    <w:p w:rsidR="00CE6945" w:rsidRDefault="00CE6945">
      <w:pPr>
        <w:rPr>
          <w:rFonts w:ascii="宋体"/>
          <w:szCs w:val="21"/>
        </w:rPr>
      </w:pPr>
      <w:r>
        <w:rPr>
          <w:rFonts w:ascii="宋体" w:hAnsi="宋体"/>
          <w:szCs w:val="21"/>
        </w:rPr>
        <w:t>29</w:t>
      </w:r>
      <w:r>
        <w:rPr>
          <w:rFonts w:ascii="宋体" w:hAnsi="宋体" w:hint="eastAsia"/>
          <w:szCs w:val="21"/>
        </w:rPr>
        <w:t>、</w:t>
      </w:r>
      <w:r>
        <w:rPr>
          <w:rFonts w:ascii="宋体" w:hAnsi="宋体"/>
          <w:szCs w:val="21"/>
        </w:rPr>
        <w:t>[</w:t>
      </w:r>
      <w:r>
        <w:rPr>
          <w:rFonts w:ascii="宋体" w:hAnsi="宋体" w:hint="eastAsia"/>
          <w:szCs w:val="21"/>
        </w:rPr>
        <w:t>美</w:t>
      </w:r>
      <w:r>
        <w:rPr>
          <w:rFonts w:ascii="宋体" w:hAnsi="宋体"/>
          <w:szCs w:val="21"/>
        </w:rPr>
        <w:t>]</w:t>
      </w:r>
      <w:r>
        <w:rPr>
          <w:rFonts w:ascii="宋体" w:hAnsi="宋体" w:hint="eastAsia"/>
          <w:szCs w:val="21"/>
        </w:rPr>
        <w:t>罗伯特·</w:t>
      </w:r>
      <w:r>
        <w:rPr>
          <w:rFonts w:ascii="宋体" w:hAnsi="宋体"/>
          <w:szCs w:val="21"/>
        </w:rPr>
        <w:t>C</w:t>
      </w:r>
      <w:r>
        <w:rPr>
          <w:rFonts w:ascii="宋体" w:hAnsi="宋体" w:hint="eastAsia"/>
          <w:szCs w:val="21"/>
        </w:rPr>
        <w:t>·艾伦编：《重组话语频道：电视与当代批评理论》，牟岭译，北京大学出版社</w:t>
      </w:r>
    </w:p>
    <w:p w:rsidR="00CE6945" w:rsidRDefault="00CE6945">
      <w:pPr>
        <w:rPr>
          <w:rFonts w:ascii="宋体"/>
          <w:szCs w:val="21"/>
        </w:rPr>
      </w:pPr>
      <w:r>
        <w:rPr>
          <w:rFonts w:ascii="宋体" w:hAnsi="宋体"/>
          <w:szCs w:val="21"/>
        </w:rPr>
        <w:t>*30</w:t>
      </w:r>
      <w:r>
        <w:rPr>
          <w:rFonts w:ascii="宋体" w:hAnsi="宋体" w:hint="eastAsia"/>
          <w:szCs w:val="21"/>
        </w:rPr>
        <w:t>、陈志昂主编：《中国电视艺术通史》，中国文联出版社</w:t>
      </w:r>
    </w:p>
    <w:p w:rsidR="00CE6945" w:rsidRDefault="00CE6945">
      <w:pPr>
        <w:rPr>
          <w:rFonts w:ascii="宋体"/>
          <w:szCs w:val="21"/>
        </w:rPr>
      </w:pPr>
      <w:r>
        <w:rPr>
          <w:rFonts w:ascii="宋体" w:hAnsi="宋体" w:cs="宋体" w:hint="eastAsia"/>
          <w:szCs w:val="21"/>
        </w:rPr>
        <w:t>（以上书目为博士资格考核书目，博士生由导师按专业方向选定其中</w:t>
      </w:r>
      <w:r>
        <w:rPr>
          <w:rFonts w:ascii="宋体" w:hAnsi="宋体" w:cs="宋体"/>
          <w:szCs w:val="21"/>
        </w:rPr>
        <w:t>20</w:t>
      </w:r>
      <w:r>
        <w:rPr>
          <w:rFonts w:ascii="宋体" w:hAnsi="宋体" w:cs="宋体" w:hint="eastAsia"/>
          <w:szCs w:val="21"/>
        </w:rPr>
        <w:t>种。另外硕士生由导师按专业方向在带星号的书目中选定其中</w:t>
      </w:r>
      <w:r>
        <w:rPr>
          <w:rFonts w:ascii="宋体" w:hAnsi="宋体" w:cs="宋体"/>
          <w:szCs w:val="21"/>
        </w:rPr>
        <w:t>7</w:t>
      </w:r>
      <w:r>
        <w:rPr>
          <w:rFonts w:ascii="宋体" w:hAnsi="宋体" w:cs="宋体" w:hint="eastAsia"/>
          <w:szCs w:val="21"/>
        </w:rPr>
        <w:t>种）</w:t>
      </w:r>
    </w:p>
    <w:p w:rsidR="00CE6945" w:rsidRPr="00315EF3" w:rsidRDefault="00CE6945" w:rsidP="00250EDA">
      <w:pPr>
        <w:jc w:val="center"/>
        <w:rPr>
          <w:rFonts w:ascii="宋体"/>
          <w:b/>
          <w:sz w:val="28"/>
          <w:szCs w:val="28"/>
        </w:rPr>
      </w:pPr>
      <w:r w:rsidRPr="00315EF3">
        <w:rPr>
          <w:rFonts w:ascii="宋体" w:hAnsi="宋体" w:hint="eastAsia"/>
          <w:b/>
          <w:sz w:val="28"/>
          <w:szCs w:val="28"/>
        </w:rPr>
        <w:lastRenderedPageBreak/>
        <w:t>学科介绍</w:t>
      </w:r>
    </w:p>
    <w:p w:rsidR="00CE6945" w:rsidRPr="00315EF3" w:rsidRDefault="00CE6945" w:rsidP="00250EDA">
      <w:pPr>
        <w:rPr>
          <w:b/>
        </w:rPr>
      </w:pPr>
    </w:p>
    <w:p w:rsidR="00CE6945" w:rsidRPr="00315EF3" w:rsidRDefault="00CE6945" w:rsidP="0084677C"/>
    <w:p w:rsidR="00CE6945" w:rsidRDefault="00CE6945" w:rsidP="00961051">
      <w:pPr>
        <w:widowControl/>
        <w:snapToGrid w:val="0"/>
        <w:ind w:firstLine="420"/>
        <w:rPr>
          <w:kern w:val="0"/>
          <w:szCs w:val="21"/>
        </w:rPr>
      </w:pPr>
      <w:r>
        <w:rPr>
          <w:rFonts w:ascii="宋体" w:hAnsi="宋体" w:hint="eastAsia"/>
          <w:kern w:val="0"/>
          <w:szCs w:val="21"/>
        </w:rPr>
        <w:t>南京大学戏剧与影视学专业</w:t>
      </w:r>
      <w:r>
        <w:rPr>
          <w:rFonts w:ascii="宋体" w:hAnsi="宋体"/>
          <w:kern w:val="0"/>
          <w:szCs w:val="21"/>
        </w:rPr>
        <w:t>1995</w:t>
      </w:r>
      <w:r>
        <w:rPr>
          <w:rFonts w:ascii="宋体" w:hAnsi="宋体" w:hint="eastAsia"/>
          <w:kern w:val="0"/>
          <w:szCs w:val="21"/>
        </w:rPr>
        <w:t>年、</w:t>
      </w:r>
      <w:r>
        <w:rPr>
          <w:rFonts w:ascii="宋体" w:hAnsi="宋体"/>
          <w:kern w:val="0"/>
          <w:szCs w:val="21"/>
        </w:rPr>
        <w:t>2001</w:t>
      </w:r>
      <w:r>
        <w:rPr>
          <w:rFonts w:ascii="宋体" w:hAnsi="宋体" w:hint="eastAsia"/>
          <w:kern w:val="0"/>
          <w:szCs w:val="21"/>
        </w:rPr>
        <w:t>年、</w:t>
      </w:r>
      <w:r>
        <w:rPr>
          <w:rFonts w:ascii="宋体" w:hAnsi="宋体"/>
          <w:kern w:val="0"/>
          <w:szCs w:val="21"/>
        </w:rPr>
        <w:t>2006</w:t>
      </w:r>
      <w:r>
        <w:rPr>
          <w:rFonts w:ascii="宋体" w:hAnsi="宋体" w:hint="eastAsia"/>
          <w:kern w:val="0"/>
          <w:szCs w:val="21"/>
        </w:rPr>
        <w:t>年、</w:t>
      </w:r>
      <w:r>
        <w:rPr>
          <w:rFonts w:ascii="宋体" w:hAnsi="宋体"/>
          <w:kern w:val="0"/>
          <w:szCs w:val="21"/>
        </w:rPr>
        <w:t>2011</w:t>
      </w:r>
      <w:r>
        <w:rPr>
          <w:rFonts w:ascii="宋体" w:hAnsi="宋体" w:hint="eastAsia"/>
          <w:kern w:val="0"/>
          <w:szCs w:val="21"/>
        </w:rPr>
        <w:t>年，连续被评为江苏省重点学科。下设戏剧戏曲学、电影学、电视艺术学等二级学科专业。</w:t>
      </w:r>
    </w:p>
    <w:p w:rsidR="00CE6945" w:rsidRPr="00315EF3" w:rsidRDefault="00CE6945" w:rsidP="00064D23">
      <w:pPr>
        <w:ind w:firstLineChars="200" w:firstLine="420"/>
      </w:pPr>
      <w:r w:rsidRPr="00961051">
        <w:rPr>
          <w:rFonts w:ascii="黑体" w:eastAsia="黑体" w:hAnsi="黑体" w:hint="eastAsia"/>
          <w:kern w:val="0"/>
          <w:szCs w:val="21"/>
        </w:rPr>
        <w:t>戏剧戏曲学专业</w:t>
      </w:r>
      <w:r>
        <w:t xml:space="preserve">    </w:t>
      </w:r>
      <w:r w:rsidRPr="00315EF3">
        <w:rPr>
          <w:rFonts w:hint="eastAsia"/>
        </w:rPr>
        <w:t>南京大学戏剧戏曲学专业历史悠久。在我国，作为现代学人而研究中国古典戏曲的，王国维是第一人。在大学里研究戏剧，则始自吴梅先生。他在</w:t>
      </w:r>
      <w:r>
        <w:rPr>
          <w:rFonts w:hint="eastAsia"/>
        </w:rPr>
        <w:t>上</w:t>
      </w:r>
      <w:r w:rsidRPr="00315EF3">
        <w:rPr>
          <w:rFonts w:hint="eastAsia"/>
        </w:rPr>
        <w:t>世纪</w:t>
      </w:r>
      <w:r w:rsidRPr="00315EF3">
        <w:t>20</w:t>
      </w:r>
      <w:r>
        <w:rPr>
          <w:rFonts w:hint="eastAsia"/>
        </w:rPr>
        <w:t>年代，先后将戏曲引入北京大学和</w:t>
      </w:r>
      <w:r w:rsidRPr="00315EF3">
        <w:rPr>
          <w:rFonts w:hint="eastAsia"/>
        </w:rPr>
        <w:t>南京大学之前身东南大学、中央大学的教学与科研之中。此后戏曲之学不绝于我校教坛，陈中凡、卢冀野、钱南扬、吴白匋、吴新雷诸教授，于此道皆有专攻，研究成果举世瞩目。随着学科领域的不断拓展，现当代戏剧研究，在陈白尘、陈瘦竹、董健教授带领下成就卓著。</w:t>
      </w:r>
      <w:r w:rsidRPr="00315EF3">
        <w:t>1977</w:t>
      </w:r>
      <w:r w:rsidRPr="00315EF3">
        <w:rPr>
          <w:rFonts w:hint="eastAsia"/>
        </w:rPr>
        <w:t>年以来，一部《戏文概论》（钱南扬）的问世，两部戏剧史著《中国现代戏剧史稿》（陈白尘、董健主编）、《中国当代戏剧史稿》（董健、胡星亮主编）的推出，两套共六册《中国新文学大系（</w:t>
      </w:r>
      <w:r w:rsidRPr="00315EF3">
        <w:t>1937—1949</w:t>
      </w:r>
      <w:r w:rsidRPr="00315EF3">
        <w:rPr>
          <w:rFonts w:hint="eastAsia"/>
        </w:rPr>
        <w:t>）</w:t>
      </w:r>
      <w:r w:rsidRPr="00315EF3">
        <w:rPr>
          <w:rFonts w:ascii="宋体" w:hint="eastAsia"/>
        </w:rPr>
        <w:t>·</w:t>
      </w:r>
      <w:r w:rsidRPr="00315EF3">
        <w:rPr>
          <w:rFonts w:hint="eastAsia"/>
        </w:rPr>
        <w:t>戏剧卷》（陈白尘主编）、《中国新文学大系（</w:t>
      </w:r>
      <w:r w:rsidRPr="00315EF3">
        <w:t>1976—2000</w:t>
      </w:r>
      <w:r w:rsidRPr="00315EF3">
        <w:rPr>
          <w:rFonts w:hint="eastAsia"/>
        </w:rPr>
        <w:t>）</w:t>
      </w:r>
      <w:r w:rsidRPr="00315EF3">
        <w:rPr>
          <w:rFonts w:ascii="宋体" w:hint="eastAsia"/>
        </w:rPr>
        <w:t>·</w:t>
      </w:r>
      <w:r w:rsidRPr="00315EF3">
        <w:rPr>
          <w:rFonts w:hint="eastAsia"/>
        </w:rPr>
        <w:t>戏剧卷》（董健主编），以及两部中外比较戏剧史著《当代中外比较戏剧史论》（胡星亮）</w:t>
      </w:r>
      <w:r>
        <w:rPr>
          <w:rFonts w:hint="eastAsia"/>
        </w:rPr>
        <w:t>、《中国现代比较戏剧史》（胡星亮副主编）</w:t>
      </w:r>
      <w:r w:rsidRPr="00315EF3">
        <w:rPr>
          <w:rFonts w:hint="eastAsia"/>
        </w:rPr>
        <w:t>的出版，四部大型工具书《中国现代戏剧总目提要》（董健主编）、《中国当代戏剧总目提要》（董健、陆炜主编）、《中国昆剧大辞典》（吴新雷主编）、《历代曲话汇编》（俞为民主编）的编撰，以及《田汉传》（董健）、《中国戏曲史论》（吴新雷）、《李渔评传》（俞为民）、《中国话剧与中国戏曲》（胡星亮）、《田汉剧作论》（陆炜）、《</w:t>
      </w:r>
      <w:r w:rsidRPr="00315EF3">
        <w:t>20</w:t>
      </w:r>
      <w:r w:rsidRPr="00315EF3">
        <w:rPr>
          <w:rFonts w:hint="eastAsia"/>
        </w:rPr>
        <w:t>世纪中国问题剧研究》（周安华）、《戏曲本质论》（吕效平）、《演剧职业化运动研究》（马俊山）、《</w:t>
      </w:r>
      <w:r w:rsidRPr="00315EF3">
        <w:t>20</w:t>
      </w:r>
      <w:r w:rsidRPr="00315EF3">
        <w:rPr>
          <w:rFonts w:hint="eastAsia"/>
        </w:rPr>
        <w:t>世纪中国戏剧学研究》（解玉峰）等学术专著和学术论文的发表，这些研究实绩引起国内外同行的关注，并获得诸多学术奖励。《中国现代戏剧史稿》获全国高校优秀教材特等奖，《田汉全集》（董健等编）获全国优秀图书奖荣誉奖，《中国现代戏剧总目提要》（董健）、《中国话剧与中国戏曲》（胡星亮）、《当代中外比较戏剧史论》（胡星亮）、《中国现代比较戏剧史》（胡星亮等）获全国高校人文社会科学优秀成果二等奖，《中国现代戏剧史稿》（陈白尘、董健主编）、《中国当代戏剧史稿》（董健、胡星亮主编）、《当代中外比较戏剧史论》（胡星亮）获江苏省</w:t>
      </w:r>
      <w:r>
        <w:rPr>
          <w:rFonts w:hint="eastAsia"/>
        </w:rPr>
        <w:t>哲学社会科学优秀成果一等奖，《中国现代戏剧总目提要》（董健</w:t>
      </w:r>
      <w:r w:rsidRPr="00315EF3">
        <w:rPr>
          <w:rFonts w:hint="eastAsia"/>
        </w:rPr>
        <w:t>主编）、《陈白尘创作历程论》（董健）、《中国戏曲史论》（吴新雷）、《中国现代戏剧论集》（胡星亮）获江苏省哲学社会科学优秀成果二等奖，《宋元南戏考论续编》（俞为民）、《二十世纪中国戏剧思潮》（胡星亮）、《田汉剧作论》（陆炜）获江苏省哲学社会科学优秀成果三等奖，等等。一流的中国古典戏曲研究和一流的中国现当代戏剧研究在此合流，形成了中国学术界历史最悠久、实力最雄厚的戏剧学研究重镇。</w:t>
      </w:r>
    </w:p>
    <w:p w:rsidR="00CE6945" w:rsidRPr="00315EF3" w:rsidRDefault="00CE6945" w:rsidP="00064D23">
      <w:pPr>
        <w:ind w:firstLineChars="200" w:firstLine="420"/>
      </w:pPr>
      <w:r w:rsidRPr="00315EF3">
        <w:t>1978</w:t>
      </w:r>
      <w:r w:rsidRPr="00315EF3">
        <w:rPr>
          <w:rFonts w:hint="eastAsia"/>
        </w:rPr>
        <w:t>年国务院学位委员会批准该专业建立戏剧学硕士点，</w:t>
      </w:r>
      <w:r w:rsidRPr="00315EF3">
        <w:t>1984</w:t>
      </w:r>
      <w:r w:rsidRPr="00315EF3">
        <w:rPr>
          <w:rFonts w:hint="eastAsia"/>
        </w:rPr>
        <w:t>年批准建立博士点。</w:t>
      </w:r>
      <w:r w:rsidRPr="00315EF3">
        <w:t>1995</w:t>
      </w:r>
      <w:r w:rsidRPr="00315EF3">
        <w:rPr>
          <w:rFonts w:hint="eastAsia"/>
        </w:rPr>
        <w:t>年、</w:t>
      </w:r>
      <w:r w:rsidRPr="00315EF3">
        <w:t>2001</w:t>
      </w:r>
      <w:r w:rsidRPr="00315EF3">
        <w:rPr>
          <w:rFonts w:hint="eastAsia"/>
        </w:rPr>
        <w:t>年、</w:t>
      </w:r>
      <w:r w:rsidRPr="00315EF3">
        <w:t>2006</w:t>
      </w:r>
      <w:r w:rsidRPr="00315EF3">
        <w:rPr>
          <w:rFonts w:hint="eastAsia"/>
        </w:rPr>
        <w:t>年、</w:t>
      </w:r>
      <w:r w:rsidRPr="00315EF3">
        <w:t>2011</w:t>
      </w:r>
      <w:r w:rsidRPr="00315EF3">
        <w:rPr>
          <w:rFonts w:hint="eastAsia"/>
        </w:rPr>
        <w:t>年，该专业连续被评为江苏省重点学科。该专业同时还是国家重点学科南京大学中国古代文学专业、国家重点学科南京大学中国现代文学专业、教育部人文社会科学重点研究基地南京大学中国现代文学研究中心的重要支撑学科。自</w:t>
      </w:r>
      <w:r w:rsidRPr="00315EF3">
        <w:t>1978</w:t>
      </w:r>
      <w:r w:rsidRPr="00315EF3">
        <w:rPr>
          <w:rFonts w:hint="eastAsia"/>
        </w:rPr>
        <w:t>年招收研究生以来，该专业培养的硕士中涌现了李龙云、姚远、赵耀民等具有全国性影响的剧作家；数十位博士研究生从这里拿到学位，他们中许多人已是教授、研究员、博导，成为全国戏剧戏曲学教学与研究的一支重要力量。董健教授指导的博士论文《布莱希特与中国当代戏剧》（周宪）、《演剧职业化运动研究》（马俊山）分别获全国优秀博士论文奖和提名奖。</w:t>
      </w:r>
    </w:p>
    <w:p w:rsidR="00CE6945" w:rsidRPr="00315EF3" w:rsidRDefault="00CE6945" w:rsidP="00064D23">
      <w:pPr>
        <w:ind w:firstLineChars="200" w:firstLine="420"/>
      </w:pPr>
      <w:r>
        <w:rPr>
          <w:rFonts w:hint="eastAsia"/>
        </w:rPr>
        <w:t>戏剧戏曲学</w:t>
      </w:r>
      <w:r w:rsidRPr="00315EF3">
        <w:rPr>
          <w:rFonts w:hint="eastAsia"/>
        </w:rPr>
        <w:t>专业拥有一支优秀的师资队伍。现有董健、胡星亮、吕效平、</w:t>
      </w:r>
      <w:r>
        <w:rPr>
          <w:rFonts w:hint="eastAsia"/>
        </w:rPr>
        <w:t>傅谨、</w:t>
      </w:r>
      <w:r w:rsidRPr="00315EF3">
        <w:rPr>
          <w:rFonts w:hint="eastAsia"/>
        </w:rPr>
        <w:t>马俊山、解玉峰</w:t>
      </w:r>
      <w:r>
        <w:rPr>
          <w:rFonts w:hint="eastAsia"/>
        </w:rPr>
        <w:t>六</w:t>
      </w:r>
      <w:r w:rsidRPr="00315EF3">
        <w:rPr>
          <w:rFonts w:hint="eastAsia"/>
        </w:rPr>
        <w:t>位教授（均为博导），设中国古典戏曲、中国现当代戏剧两个方向。中西融合、古今沟通，以更深更广地探讨戏剧艺术奥秘，是该专业的特色和优势。三分之二以上的教师获有博士学位和在国外学习、交流一年以上的学术经历。</w:t>
      </w:r>
      <w:r>
        <w:rPr>
          <w:rFonts w:hint="eastAsia"/>
        </w:rPr>
        <w:t>董健教授是南京大学资深教授和资深学科带头人。胡星亮教授是</w:t>
      </w:r>
      <w:r w:rsidRPr="00315EF3">
        <w:rPr>
          <w:rFonts w:hint="eastAsia"/>
        </w:rPr>
        <w:t>教育部“跨世纪优秀人才”</w:t>
      </w:r>
      <w:r>
        <w:rPr>
          <w:rFonts w:hint="eastAsia"/>
        </w:rPr>
        <w:t>、“南京大学高层次学科带头人（特聘</w:t>
      </w:r>
      <w:r>
        <w:rPr>
          <w:rFonts w:hint="eastAsia"/>
        </w:rPr>
        <w:lastRenderedPageBreak/>
        <w:t>教授）”，</w:t>
      </w:r>
      <w:r w:rsidRPr="00315EF3">
        <w:rPr>
          <w:rFonts w:hint="eastAsia"/>
        </w:rPr>
        <w:t>解玉峰</w:t>
      </w:r>
      <w:r>
        <w:rPr>
          <w:rFonts w:hint="eastAsia"/>
        </w:rPr>
        <w:t>教授是</w:t>
      </w:r>
      <w:r w:rsidRPr="00315EF3">
        <w:rPr>
          <w:rFonts w:hint="eastAsia"/>
        </w:rPr>
        <w:t>教育部“新世纪优秀人才”</w:t>
      </w:r>
      <w:r>
        <w:rPr>
          <w:rFonts w:hint="eastAsia"/>
        </w:rPr>
        <w:t>，并入选“南京大学优秀中青年学科带头人培养计划”</w:t>
      </w:r>
      <w:r w:rsidRPr="00315EF3">
        <w:rPr>
          <w:rFonts w:hint="eastAsia"/>
        </w:rPr>
        <w:t>。</w:t>
      </w:r>
    </w:p>
    <w:p w:rsidR="00CE6945" w:rsidRPr="00315EF3" w:rsidRDefault="00CE6945" w:rsidP="00064D23">
      <w:pPr>
        <w:ind w:firstLineChars="200" w:firstLine="420"/>
        <w:rPr>
          <w:szCs w:val="21"/>
        </w:rPr>
      </w:pPr>
      <w:r w:rsidRPr="00315EF3">
        <w:rPr>
          <w:rFonts w:hint="eastAsia"/>
        </w:rPr>
        <w:t>目前，该专业承担的主要科研项目有：教育部人文社会科学重点研究基地重大项目</w:t>
      </w:r>
      <w:r>
        <w:rPr>
          <w:rFonts w:hint="eastAsia"/>
        </w:rPr>
        <w:t>《中国现当代戏剧理论整理与研究》（董健、胡星亮</w:t>
      </w:r>
      <w:r w:rsidRPr="00315EF3">
        <w:rPr>
          <w:rFonts w:hint="eastAsia"/>
        </w:rPr>
        <w:t>）、《二十世纪中国话剧创作主潮》（胡星亮），“高等教育百门精品课程教材”《中国近现代戏剧史》（董健），国家社科基金项目《中国韵文文与乐研究》（解玉峰）、《中国话剧舞台艺术史》（马俊山）、《</w:t>
      </w:r>
      <w:r>
        <w:rPr>
          <w:rFonts w:ascii="宋体" w:hAnsi="宋体" w:cs="宋体" w:hint="eastAsia"/>
          <w:szCs w:val="21"/>
        </w:rPr>
        <w:t>从古典到现代</w:t>
      </w:r>
      <w:r>
        <w:rPr>
          <w:rFonts w:ascii="宋体" w:hAnsi="宋体" w:cs="宋体"/>
          <w:szCs w:val="21"/>
        </w:rPr>
        <w:t>——20</w:t>
      </w:r>
      <w:r>
        <w:rPr>
          <w:rFonts w:ascii="宋体" w:hAnsi="宋体" w:cs="宋体" w:hint="eastAsia"/>
          <w:szCs w:val="21"/>
        </w:rPr>
        <w:t>世纪中国戏曲转型</w:t>
      </w:r>
      <w:r w:rsidRPr="00315EF3">
        <w:rPr>
          <w:rFonts w:hint="eastAsia"/>
        </w:rPr>
        <w:t>》（吕效平）</w:t>
      </w:r>
      <w:r>
        <w:rPr>
          <w:rFonts w:hint="eastAsia"/>
        </w:rPr>
        <w:t>、《</w:t>
      </w:r>
      <w:r>
        <w:rPr>
          <w:rFonts w:ascii="宋体" w:hAnsi="宋体" w:cs="宋体" w:hint="eastAsia"/>
          <w:szCs w:val="21"/>
        </w:rPr>
        <w:t>二十世纪中国戏剧理论大系</w:t>
      </w:r>
      <w:r>
        <w:rPr>
          <w:rFonts w:hint="eastAsia"/>
        </w:rPr>
        <w:t>》（胡星亮）、《</w:t>
      </w:r>
      <w:r>
        <w:rPr>
          <w:rFonts w:ascii="宋体" w:hAnsi="宋体" w:cs="宋体" w:hint="eastAsia"/>
          <w:szCs w:val="21"/>
        </w:rPr>
        <w:t>元明清曲谱形态与文化研究</w:t>
      </w:r>
      <w:r>
        <w:rPr>
          <w:rFonts w:hint="eastAsia"/>
        </w:rPr>
        <w:t>》（许莉莉）、《</w:t>
      </w:r>
      <w:r>
        <w:rPr>
          <w:rFonts w:ascii="宋体" w:hAnsi="宋体" w:cs="宋体" w:hint="eastAsia"/>
          <w:szCs w:val="21"/>
        </w:rPr>
        <w:t>美国戏剧的中国叙事</w:t>
      </w:r>
      <w:r>
        <w:rPr>
          <w:rFonts w:hint="eastAsia"/>
        </w:rPr>
        <w:t>》（高子文）</w:t>
      </w:r>
      <w:r w:rsidRPr="00315EF3">
        <w:rPr>
          <w:rFonts w:hint="eastAsia"/>
        </w:rPr>
        <w:t>，教育部新世纪优秀人才基金项目《中国韵文文体研究》（解玉峰），教育部人文社科项目《上海租界时期戏曲生态研究》（陈恬）、《台湾香港澳门话剧创作研究》（胡星亮）。另有</w:t>
      </w:r>
      <w:r w:rsidRPr="00315EF3">
        <w:t>CSSCI</w:t>
      </w:r>
      <w:r w:rsidRPr="00315EF3">
        <w:rPr>
          <w:rFonts w:hint="eastAsia"/>
        </w:rPr>
        <w:t>集刊《南大戏剧论丛》。</w:t>
      </w:r>
    </w:p>
    <w:p w:rsidR="00CE6945" w:rsidRPr="00315EF3" w:rsidRDefault="00CE6945" w:rsidP="00064D23">
      <w:pPr>
        <w:ind w:firstLineChars="200" w:firstLine="420"/>
        <w:rPr>
          <w:rFonts w:ascii="宋体"/>
          <w:szCs w:val="21"/>
        </w:rPr>
      </w:pPr>
      <w:r w:rsidRPr="00D848AE">
        <w:rPr>
          <w:rFonts w:ascii="黑体" w:eastAsia="黑体" w:hAnsi="黑体" w:hint="eastAsia"/>
        </w:rPr>
        <w:t>电影学专业</w:t>
      </w:r>
      <w:r>
        <w:t xml:space="preserve">    </w:t>
      </w:r>
      <w:r>
        <w:rPr>
          <w:rFonts w:hint="eastAsia"/>
        </w:rPr>
        <w:t>南京大学电影学专业</w:t>
      </w:r>
      <w:r w:rsidRPr="00315EF3">
        <w:rPr>
          <w:rFonts w:hint="eastAsia"/>
        </w:rPr>
        <w:t>的历史可以追溯到</w:t>
      </w:r>
      <w:r>
        <w:rPr>
          <w:rFonts w:hint="eastAsia"/>
        </w:rPr>
        <w:t>上</w:t>
      </w:r>
      <w:r w:rsidRPr="00315EF3">
        <w:rPr>
          <w:rFonts w:hint="eastAsia"/>
        </w:rPr>
        <w:t>世纪</w:t>
      </w:r>
      <w:r>
        <w:t>3</w:t>
      </w:r>
      <w:r w:rsidRPr="00315EF3">
        <w:t>0</w:t>
      </w:r>
      <w:r w:rsidRPr="00315EF3">
        <w:rPr>
          <w:rFonts w:hint="eastAsia"/>
        </w:rPr>
        <w:t>年代。</w:t>
      </w:r>
      <w:r w:rsidRPr="00315EF3">
        <w:rPr>
          <w:rFonts w:ascii="宋体" w:hAnsi="宋体" w:hint="eastAsia"/>
          <w:szCs w:val="21"/>
        </w:rPr>
        <w:t>我校前身之一的金陵大学于</w:t>
      </w:r>
      <w:r w:rsidRPr="00315EF3">
        <w:rPr>
          <w:rFonts w:ascii="宋体" w:hAnsi="宋体"/>
          <w:szCs w:val="21"/>
        </w:rPr>
        <w:t>1922</w:t>
      </w:r>
      <w:r w:rsidRPr="00315EF3">
        <w:rPr>
          <w:rFonts w:ascii="宋体" w:hAnsi="宋体" w:hint="eastAsia"/>
          <w:szCs w:val="21"/>
        </w:rPr>
        <w:t>年从美国引进幻灯机、电影放映机、电影摄影机等设备，在全国综合性大学中最早将现代视听媒介引入现代大学教育，由此拉开了电影教育事业的序幕。</w:t>
      </w:r>
      <w:r w:rsidRPr="00315EF3">
        <w:rPr>
          <w:rFonts w:ascii="宋体" w:hAnsi="宋体"/>
          <w:szCs w:val="21"/>
        </w:rPr>
        <w:t>1930</w:t>
      </w:r>
      <w:r w:rsidRPr="00315EF3">
        <w:rPr>
          <w:rFonts w:ascii="宋体" w:hAnsi="宋体" w:hint="eastAsia"/>
          <w:szCs w:val="21"/>
        </w:rPr>
        <w:t>年设立科学电影组；</w:t>
      </w:r>
      <w:r w:rsidRPr="00315EF3">
        <w:rPr>
          <w:rFonts w:ascii="宋体" w:hAnsi="宋体"/>
          <w:szCs w:val="21"/>
        </w:rPr>
        <w:t>1934</w:t>
      </w:r>
      <w:r>
        <w:rPr>
          <w:rFonts w:ascii="宋体" w:hAnsi="宋体" w:hint="eastAsia"/>
          <w:szCs w:val="21"/>
        </w:rPr>
        <w:t>年改为科学教育电影委员会，摄制</w:t>
      </w:r>
      <w:r w:rsidRPr="00315EF3">
        <w:rPr>
          <w:rFonts w:ascii="宋体" w:hAnsi="宋体" w:hint="eastAsia"/>
          <w:szCs w:val="21"/>
        </w:rPr>
        <w:t>教育影片；</w:t>
      </w:r>
      <w:r w:rsidRPr="00315EF3">
        <w:rPr>
          <w:rFonts w:ascii="宋体" w:hAnsi="宋体"/>
          <w:szCs w:val="21"/>
        </w:rPr>
        <w:t>1938</w:t>
      </w:r>
      <w:r w:rsidRPr="00315EF3">
        <w:rPr>
          <w:rFonts w:ascii="宋体" w:hAnsi="宋体" w:hint="eastAsia"/>
          <w:szCs w:val="21"/>
        </w:rPr>
        <w:t>年成立影音专修科，是国内综合性大学中最早进行电影、播音、录音等新兴艺术教育的系科；</w:t>
      </w:r>
      <w:r w:rsidRPr="00315EF3">
        <w:rPr>
          <w:rFonts w:ascii="宋体" w:hAnsi="宋体"/>
          <w:szCs w:val="21"/>
        </w:rPr>
        <w:t>1947</w:t>
      </w:r>
      <w:r w:rsidRPr="00315EF3">
        <w:rPr>
          <w:rFonts w:ascii="宋体" w:hAnsi="宋体" w:hint="eastAsia"/>
          <w:szCs w:val="21"/>
        </w:rPr>
        <w:t>年开始探索研究生层次的学生培养，吸收大学毕业生作为研究生到影音部研究电影与播音教学。</w:t>
      </w:r>
      <w:r w:rsidRPr="00315EF3">
        <w:rPr>
          <w:rFonts w:ascii="宋体" w:hAnsi="宋体"/>
          <w:szCs w:val="21"/>
        </w:rPr>
        <w:t>1942</w:t>
      </w:r>
      <w:r w:rsidRPr="00315EF3">
        <w:rPr>
          <w:rFonts w:ascii="宋体" w:hAnsi="宋体" w:hint="eastAsia"/>
          <w:szCs w:val="21"/>
        </w:rPr>
        <w:t>年该系创办了《电影与播音》</w:t>
      </w:r>
      <w:r w:rsidRPr="00315EF3">
        <w:rPr>
          <w:rFonts w:ascii="宋体" w:hAnsi="宋体"/>
          <w:szCs w:val="21"/>
        </w:rPr>
        <w:t>(</w:t>
      </w:r>
      <w:r w:rsidRPr="00315EF3">
        <w:rPr>
          <w:rFonts w:ascii="宋体" w:hAnsi="宋体" w:hint="eastAsia"/>
          <w:szCs w:val="21"/>
        </w:rPr>
        <w:t>后改为《影音》</w:t>
      </w:r>
      <w:r w:rsidRPr="00315EF3">
        <w:rPr>
          <w:rFonts w:ascii="宋体" w:hAnsi="宋体"/>
          <w:szCs w:val="21"/>
        </w:rPr>
        <w:t>)</w:t>
      </w:r>
      <w:r w:rsidRPr="00315EF3">
        <w:rPr>
          <w:rFonts w:ascii="宋体" w:hAnsi="宋体" w:hint="eastAsia"/>
          <w:szCs w:val="21"/>
        </w:rPr>
        <w:t>，这是中国大学出版的最早的研究电影学的综合性刊物。</w:t>
      </w:r>
      <w:r w:rsidRPr="00315EF3">
        <w:rPr>
          <w:rFonts w:ascii="宋体" w:hAnsi="宋体"/>
          <w:szCs w:val="21"/>
        </w:rPr>
        <w:t>1952</w:t>
      </w:r>
      <w:r w:rsidRPr="00315EF3">
        <w:rPr>
          <w:rFonts w:ascii="宋体" w:hAnsi="宋体" w:hint="eastAsia"/>
          <w:szCs w:val="21"/>
        </w:rPr>
        <w:t>年院系调整，金陵大学的影音部和专修科与同时调入的其他院校</w:t>
      </w:r>
      <w:r>
        <w:rPr>
          <w:rFonts w:ascii="宋体" w:hAnsi="宋体" w:hint="eastAsia"/>
          <w:szCs w:val="21"/>
        </w:rPr>
        <w:t>相关系科共同组建了现在</w:t>
      </w:r>
      <w:r w:rsidRPr="00315EF3">
        <w:rPr>
          <w:rFonts w:ascii="宋体" w:hAnsi="宋体" w:hint="eastAsia"/>
          <w:szCs w:val="21"/>
        </w:rPr>
        <w:t>的北京电影学院。著名电影艺术学者和电影艺术家孙明经、魏学仁、陈裕光、孙良录等早年曾在金陵大学影音专修科执教。</w:t>
      </w:r>
      <w:r w:rsidRPr="00315EF3">
        <w:rPr>
          <w:rFonts w:ascii="宋体" w:hAnsi="宋体"/>
          <w:szCs w:val="21"/>
        </w:rPr>
        <w:t>20</w:t>
      </w:r>
      <w:r w:rsidRPr="00315EF3">
        <w:rPr>
          <w:rFonts w:ascii="宋体" w:hAnsi="宋体" w:hint="eastAsia"/>
          <w:szCs w:val="21"/>
        </w:rPr>
        <w:t>世纪</w:t>
      </w:r>
      <w:r w:rsidRPr="00315EF3">
        <w:rPr>
          <w:rFonts w:ascii="宋体" w:hAnsi="宋体"/>
          <w:szCs w:val="21"/>
        </w:rPr>
        <w:t>80</w:t>
      </w:r>
      <w:r w:rsidRPr="00315EF3">
        <w:rPr>
          <w:rFonts w:ascii="宋体" w:hAnsi="宋体" w:hint="eastAsia"/>
          <w:szCs w:val="21"/>
        </w:rPr>
        <w:t>年代，南京大学重续电影艺术研究和教育传统，开展电影艺术研究，相继开展博士、硕士、本科等各层次的培养工作。经过</w:t>
      </w:r>
      <w:r w:rsidRPr="00315EF3">
        <w:rPr>
          <w:rFonts w:ascii="宋体" w:hAnsi="宋体"/>
          <w:szCs w:val="21"/>
        </w:rPr>
        <w:t>80</w:t>
      </w:r>
      <w:r w:rsidRPr="00315EF3">
        <w:rPr>
          <w:rFonts w:ascii="宋体" w:hAnsi="宋体" w:hint="eastAsia"/>
          <w:szCs w:val="21"/>
        </w:rPr>
        <w:t>余年的发展，已成长为历史悠久、学术水平</w:t>
      </w:r>
      <w:r>
        <w:rPr>
          <w:rFonts w:ascii="宋体" w:hAnsi="宋体" w:hint="eastAsia"/>
          <w:szCs w:val="21"/>
        </w:rPr>
        <w:t>较</w:t>
      </w:r>
      <w:r w:rsidRPr="00315EF3">
        <w:rPr>
          <w:rFonts w:ascii="宋体" w:hAnsi="宋体" w:hint="eastAsia"/>
          <w:szCs w:val="21"/>
        </w:rPr>
        <w:t>高、师资力量较强、课程设置完备、具有鲜明特色的学科。</w:t>
      </w:r>
      <w:r>
        <w:rPr>
          <w:rFonts w:ascii="宋体" w:hAnsi="宋体" w:hint="eastAsia"/>
          <w:szCs w:val="21"/>
        </w:rPr>
        <w:t>目前</w:t>
      </w:r>
      <w:r w:rsidRPr="00315EF3">
        <w:rPr>
          <w:rFonts w:ascii="宋体" w:hAnsi="宋体" w:hint="eastAsia"/>
          <w:szCs w:val="21"/>
        </w:rPr>
        <w:t>在研</w:t>
      </w:r>
      <w:r>
        <w:rPr>
          <w:rFonts w:ascii="宋体" w:hAnsi="宋体" w:hint="eastAsia"/>
          <w:szCs w:val="21"/>
        </w:rPr>
        <w:t>的</w:t>
      </w:r>
      <w:r w:rsidRPr="00315EF3">
        <w:rPr>
          <w:rFonts w:ascii="宋体" w:hAnsi="宋体" w:hint="eastAsia"/>
          <w:szCs w:val="21"/>
        </w:rPr>
        <w:t>国家社科基金项目有：周安华教授的《</w:t>
      </w:r>
      <w:r>
        <w:rPr>
          <w:rFonts w:ascii="宋体" w:hAnsi="宋体" w:cs="宋体" w:hint="eastAsia"/>
          <w:szCs w:val="21"/>
        </w:rPr>
        <w:t>亚洲新电影之现代性研究</w:t>
      </w:r>
      <w:r w:rsidRPr="00315EF3">
        <w:rPr>
          <w:rFonts w:ascii="宋体" w:hAnsi="宋体" w:hint="eastAsia"/>
          <w:szCs w:val="21"/>
        </w:rPr>
        <w:t>》、杨弋枢副教授的《电影机制研究》</w:t>
      </w:r>
      <w:r>
        <w:rPr>
          <w:rFonts w:ascii="宋体" w:hAnsi="宋体" w:hint="eastAsia"/>
          <w:szCs w:val="21"/>
        </w:rPr>
        <w:t>、</w:t>
      </w:r>
      <w:r w:rsidRPr="00315EF3">
        <w:rPr>
          <w:rFonts w:ascii="宋体" w:hAnsi="宋体" w:hint="eastAsia"/>
          <w:szCs w:val="21"/>
        </w:rPr>
        <w:t>杨柳</w:t>
      </w:r>
      <w:r>
        <w:rPr>
          <w:rFonts w:ascii="宋体" w:hAnsi="宋体" w:hint="eastAsia"/>
          <w:szCs w:val="21"/>
        </w:rPr>
        <w:t>副教授的《</w:t>
      </w:r>
      <w:r>
        <w:rPr>
          <w:rFonts w:ascii="宋体" w:hAnsi="宋体" w:cs="宋体" w:hint="eastAsia"/>
          <w:kern w:val="0"/>
          <w:szCs w:val="21"/>
        </w:rPr>
        <w:t>消费时代的国产小成本商业电影研究</w:t>
      </w:r>
      <w:r>
        <w:rPr>
          <w:rFonts w:ascii="宋体" w:hAnsi="宋体" w:hint="eastAsia"/>
          <w:szCs w:val="21"/>
        </w:rPr>
        <w:t>》</w:t>
      </w:r>
      <w:r w:rsidRPr="00315EF3">
        <w:rPr>
          <w:rFonts w:ascii="宋体" w:hAnsi="宋体" w:hint="eastAsia"/>
          <w:szCs w:val="21"/>
        </w:rPr>
        <w:t>。洪宏副教授的中外电影比较研究</w:t>
      </w:r>
      <w:r>
        <w:rPr>
          <w:rFonts w:ascii="宋体" w:hAnsi="宋体" w:hint="eastAsia"/>
          <w:szCs w:val="21"/>
        </w:rPr>
        <w:t>、罗婷博士的电影艺术与文化研究</w:t>
      </w:r>
      <w:r w:rsidRPr="00315EF3">
        <w:rPr>
          <w:rFonts w:ascii="宋体" w:hAnsi="宋体" w:hint="eastAsia"/>
          <w:szCs w:val="21"/>
        </w:rPr>
        <w:t>等，也在学术界产生</w:t>
      </w:r>
      <w:r>
        <w:rPr>
          <w:rFonts w:ascii="宋体" w:hAnsi="宋体" w:hint="eastAsia"/>
          <w:szCs w:val="21"/>
        </w:rPr>
        <w:t>了</w:t>
      </w:r>
      <w:r w:rsidRPr="00315EF3">
        <w:rPr>
          <w:rFonts w:ascii="宋体" w:hAnsi="宋体" w:hint="eastAsia"/>
          <w:szCs w:val="21"/>
        </w:rPr>
        <w:t>较好的影响。</w:t>
      </w:r>
    </w:p>
    <w:p w:rsidR="00CE6945" w:rsidRPr="00315EF3" w:rsidRDefault="00CE6945" w:rsidP="00064D23">
      <w:pPr>
        <w:ind w:firstLineChars="200" w:firstLine="420"/>
        <w:rPr>
          <w:rFonts w:ascii="宋体"/>
          <w:szCs w:val="21"/>
        </w:rPr>
      </w:pPr>
      <w:r w:rsidRPr="0084677C">
        <w:rPr>
          <w:rFonts w:ascii="黑体" w:eastAsia="黑体" w:hAnsi="黑体" w:hint="eastAsia"/>
          <w:szCs w:val="21"/>
        </w:rPr>
        <w:t>电视艺术学</w:t>
      </w:r>
      <w:r>
        <w:rPr>
          <w:rFonts w:ascii="黑体" w:eastAsia="黑体" w:hAnsi="黑体" w:hint="eastAsia"/>
          <w:szCs w:val="21"/>
        </w:rPr>
        <w:t>专业</w:t>
      </w:r>
      <w:r>
        <w:rPr>
          <w:rFonts w:ascii="宋体" w:hAnsi="宋体"/>
          <w:szCs w:val="21"/>
        </w:rPr>
        <w:t xml:space="preserve">    </w:t>
      </w:r>
      <w:r>
        <w:rPr>
          <w:rFonts w:ascii="宋体" w:hAnsi="宋体" w:hint="eastAsia"/>
          <w:szCs w:val="21"/>
        </w:rPr>
        <w:t>南京大学的电视艺术学专业</w:t>
      </w:r>
      <w:r w:rsidRPr="00315EF3">
        <w:rPr>
          <w:rFonts w:ascii="宋体" w:hAnsi="宋体" w:hint="eastAsia"/>
          <w:szCs w:val="21"/>
        </w:rPr>
        <w:t>也有长足的发展。李兴阳教授主持的国家社科基金项目《</w:t>
      </w:r>
      <w:r>
        <w:rPr>
          <w:rFonts w:ascii="宋体" w:hAnsi="宋体"/>
          <w:szCs w:val="21"/>
        </w:rPr>
        <w:t>20</w:t>
      </w:r>
      <w:r>
        <w:rPr>
          <w:rFonts w:ascii="宋体" w:hAnsi="宋体" w:cs="宋体" w:hint="eastAsia"/>
          <w:szCs w:val="21"/>
        </w:rPr>
        <w:t>世纪中国电视剧与民族国家想象</w:t>
      </w:r>
      <w:r w:rsidRPr="00315EF3">
        <w:rPr>
          <w:rFonts w:ascii="宋体" w:hAnsi="宋体" w:hint="eastAsia"/>
          <w:szCs w:val="21"/>
        </w:rPr>
        <w:t>》，张建勤副教授的电视剧创作，和罗慧林</w:t>
      </w:r>
      <w:r>
        <w:rPr>
          <w:rFonts w:ascii="宋体" w:hAnsi="宋体" w:hint="eastAsia"/>
          <w:szCs w:val="21"/>
        </w:rPr>
        <w:t>副教授</w:t>
      </w:r>
      <w:r w:rsidRPr="00315EF3">
        <w:rPr>
          <w:rFonts w:ascii="宋体" w:hAnsi="宋体" w:hint="eastAsia"/>
          <w:szCs w:val="21"/>
        </w:rPr>
        <w:t>的电视文化学研究等，都取得了重要成就。</w:t>
      </w:r>
    </w:p>
    <w:p w:rsidR="00CE6945" w:rsidRPr="00315EF3" w:rsidRDefault="00CE6945" w:rsidP="00064D23">
      <w:pPr>
        <w:ind w:firstLineChars="200" w:firstLine="420"/>
        <w:rPr>
          <w:rFonts w:ascii="宋体"/>
          <w:szCs w:val="21"/>
        </w:rPr>
      </w:pPr>
      <w:r w:rsidRPr="00315EF3">
        <w:rPr>
          <w:rFonts w:ascii="宋体" w:hAnsi="宋体" w:hint="eastAsia"/>
          <w:szCs w:val="21"/>
        </w:rPr>
        <w:t>电影学、电视艺术学专业</w:t>
      </w:r>
      <w:r w:rsidRPr="00315EF3">
        <w:rPr>
          <w:rFonts w:hint="eastAsia"/>
        </w:rPr>
        <w:t>依托综合大学雄厚的文学、历史、教育和计算机技术等综合学科优势，以</w:t>
      </w:r>
      <w:r w:rsidRPr="00315EF3">
        <w:rPr>
          <w:rFonts w:ascii="宋体" w:hAnsi="宋体" w:hint="eastAsia"/>
        </w:rPr>
        <w:t>创建大学背景下的影视艺术专业教育，使大学拥有真正高水准的影视艺术教育为理念</w:t>
      </w:r>
      <w:r w:rsidRPr="00315EF3">
        <w:rPr>
          <w:rFonts w:hint="eastAsia"/>
        </w:rPr>
        <w:t>，影视文化理论研究视野广阔，</w:t>
      </w:r>
      <w:r w:rsidRPr="00315EF3">
        <w:rPr>
          <w:rFonts w:ascii="宋体" w:hAnsi="宋体" w:hint="eastAsia"/>
        </w:rPr>
        <w:t>教育理念独具新意</w:t>
      </w:r>
      <w:r w:rsidRPr="00315EF3">
        <w:rPr>
          <w:rFonts w:hint="eastAsia"/>
        </w:rPr>
        <w:t>。</w:t>
      </w:r>
      <w:r w:rsidRPr="00315EF3">
        <w:rPr>
          <w:rFonts w:ascii="宋体" w:hAnsi="宋体" w:hint="eastAsia"/>
          <w:szCs w:val="21"/>
        </w:rPr>
        <w:t>电影学、电视艺术学专业</w:t>
      </w:r>
      <w:r w:rsidRPr="00315EF3">
        <w:rPr>
          <w:rFonts w:hint="eastAsia"/>
        </w:rPr>
        <w:t>拥有影视理论研究的多种人才，学历、年龄结构合理，形成富有创新精神与发展潜力的学术梯队。共有教师</w:t>
      </w:r>
      <w:r>
        <w:t>9</w:t>
      </w:r>
      <w:r w:rsidRPr="00315EF3">
        <w:rPr>
          <w:rFonts w:hint="eastAsia"/>
        </w:rPr>
        <w:t>位，其中全职教授</w:t>
      </w:r>
      <w:r>
        <w:t>3</w:t>
      </w:r>
      <w:r w:rsidRPr="00315EF3">
        <w:rPr>
          <w:rFonts w:hint="eastAsia"/>
        </w:rPr>
        <w:t>人，兼职教授</w:t>
      </w:r>
      <w:r w:rsidRPr="00315EF3">
        <w:t>2</w:t>
      </w:r>
      <w:r w:rsidRPr="00315EF3">
        <w:rPr>
          <w:rFonts w:hint="eastAsia"/>
        </w:rPr>
        <w:t>人，副教授</w:t>
      </w:r>
      <w:r w:rsidRPr="00315EF3">
        <w:t>3</w:t>
      </w:r>
      <w:r w:rsidRPr="00315EF3">
        <w:rPr>
          <w:rFonts w:hint="eastAsia"/>
        </w:rPr>
        <w:t>人，讲师</w:t>
      </w:r>
      <w:r w:rsidRPr="00315EF3">
        <w:t>2</w:t>
      </w:r>
      <w:r w:rsidRPr="00315EF3">
        <w:rPr>
          <w:rFonts w:hint="eastAsia"/>
        </w:rPr>
        <w:t>人，获得博士学位者</w:t>
      </w:r>
      <w:r w:rsidRPr="00315EF3">
        <w:t>9</w:t>
      </w:r>
      <w:r w:rsidRPr="00315EF3">
        <w:rPr>
          <w:rFonts w:hint="eastAsia"/>
        </w:rPr>
        <w:t>人。</w:t>
      </w:r>
      <w:r>
        <w:rPr>
          <w:rFonts w:hint="eastAsia"/>
        </w:rPr>
        <w:t>《江苏电视剧：现状与崛起研究报告》（周安华）和《当代西方动漫发展的若干趋势》（周安华）</w:t>
      </w:r>
      <w:r w:rsidRPr="00315EF3">
        <w:rPr>
          <w:rFonts w:hint="eastAsia"/>
        </w:rPr>
        <w:t>获江苏省哲学社会科学优秀成果二等奖</w:t>
      </w:r>
      <w:r>
        <w:rPr>
          <w:rFonts w:hint="eastAsia"/>
        </w:rPr>
        <w:t>。</w:t>
      </w:r>
    </w:p>
    <w:p w:rsidR="00CE6945" w:rsidRDefault="00CE6945" w:rsidP="007A1E57">
      <w:pPr>
        <w:ind w:firstLineChars="200" w:firstLine="420"/>
      </w:pPr>
      <w:r w:rsidRPr="00315EF3">
        <w:rPr>
          <w:rFonts w:ascii="宋体" w:hAnsi="宋体" w:hint="eastAsia"/>
          <w:szCs w:val="21"/>
        </w:rPr>
        <w:t>电影学、电视艺术学专业</w:t>
      </w:r>
      <w:r w:rsidRPr="00315EF3">
        <w:rPr>
          <w:rFonts w:hAnsi="宋体" w:hint="eastAsia"/>
          <w:szCs w:val="21"/>
        </w:rPr>
        <w:t>拥有影视视听资料万余件，并全部电子化和网络化；</w:t>
      </w:r>
      <w:r w:rsidRPr="00315EF3">
        <w:rPr>
          <w:rFonts w:hint="eastAsia"/>
        </w:rPr>
        <w:t>影视工作室</w:t>
      </w:r>
      <w:r w:rsidRPr="00315EF3">
        <w:rPr>
          <w:rFonts w:hAnsi="宋体" w:hint="eastAsia"/>
          <w:szCs w:val="21"/>
        </w:rPr>
        <w:t>配有先进的摄录设备和非编系统，设备配置齐全，可供</w:t>
      </w:r>
      <w:r w:rsidRPr="00315EF3">
        <w:rPr>
          <w:rFonts w:hAnsi="宋体"/>
          <w:szCs w:val="21"/>
        </w:rPr>
        <w:t>30</w:t>
      </w:r>
      <w:r w:rsidRPr="00315EF3">
        <w:rPr>
          <w:rFonts w:hAnsi="宋体" w:hint="eastAsia"/>
          <w:szCs w:val="21"/>
        </w:rPr>
        <w:t>名学生同时上机实习，该实验室经费充足，</w:t>
      </w:r>
      <w:r w:rsidRPr="00315EF3">
        <w:rPr>
          <w:rFonts w:hint="eastAsia"/>
        </w:rPr>
        <w:t>为多层次影视艺术教育提供了</w:t>
      </w:r>
      <w:r w:rsidRPr="00315EF3">
        <w:rPr>
          <w:rFonts w:hAnsi="宋体" w:hint="eastAsia"/>
          <w:szCs w:val="21"/>
        </w:rPr>
        <w:t>很好的实验条件和技术保障。</w:t>
      </w:r>
    </w:p>
    <w:sectPr w:rsidR="00CE6945" w:rsidSect="00EC6D4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3E4" w:rsidRDefault="008E63E4" w:rsidP="00EC6D41">
      <w:r>
        <w:separator/>
      </w:r>
    </w:p>
  </w:endnote>
  <w:endnote w:type="continuationSeparator" w:id="0">
    <w:p w:rsidR="008E63E4" w:rsidRDefault="008E63E4" w:rsidP="00EC6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45" w:rsidRDefault="00CE694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45" w:rsidRDefault="00CE694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45" w:rsidRDefault="00CE694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3E4" w:rsidRDefault="008E63E4" w:rsidP="00EC6D41">
      <w:r>
        <w:separator/>
      </w:r>
    </w:p>
  </w:footnote>
  <w:footnote w:type="continuationSeparator" w:id="0">
    <w:p w:rsidR="008E63E4" w:rsidRDefault="008E63E4" w:rsidP="00EC6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45" w:rsidRDefault="00CE694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45" w:rsidRDefault="00CE694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45" w:rsidRDefault="00CE69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82C2E"/>
    <w:multiLevelType w:val="multilevel"/>
    <w:tmpl w:val="1C482C2E"/>
    <w:lvl w:ilvl="0">
      <w:start w:val="1"/>
      <w:numFmt w:val="decimal"/>
      <w:lvlText w:val="（%1）"/>
      <w:lvlJc w:val="left"/>
      <w:pPr>
        <w:ind w:left="1440" w:hanging="72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
    <w:nsid w:val="1E196BD2"/>
    <w:multiLevelType w:val="multilevel"/>
    <w:tmpl w:val="1E196BD2"/>
    <w:lvl w:ilvl="0">
      <w:start w:val="1"/>
      <w:numFmt w:val="japaneseCounting"/>
      <w:lvlText w:val="%1、"/>
      <w:lvlJc w:val="left"/>
      <w:pPr>
        <w:tabs>
          <w:tab w:val="left" w:pos="420"/>
        </w:tabs>
        <w:ind w:left="420" w:hanging="42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2">
    <w:nsid w:val="3CB10203"/>
    <w:multiLevelType w:val="multilevel"/>
    <w:tmpl w:val="3CB10203"/>
    <w:lvl w:ilvl="0">
      <w:start w:val="1"/>
      <w:numFmt w:val="decimal"/>
      <w:lvlText w:val="%1、"/>
      <w:lvlJc w:val="left"/>
      <w:pPr>
        <w:ind w:left="720" w:hanging="720"/>
      </w:pPr>
      <w:rPr>
        <w:rFonts w:cs="Times New Roman"/>
        <w:b w:val="0"/>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3">
    <w:nsid w:val="530A63A8"/>
    <w:multiLevelType w:val="multilevel"/>
    <w:tmpl w:val="530A63A8"/>
    <w:lvl w:ilvl="0">
      <w:start w:val="1"/>
      <w:numFmt w:val="decimalEnclosedCircle"/>
      <w:lvlText w:val="%1"/>
      <w:lvlJc w:val="left"/>
      <w:pPr>
        <w:tabs>
          <w:tab w:val="left" w:pos="780"/>
        </w:tabs>
        <w:ind w:left="78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4">
    <w:nsid w:val="55A2656C"/>
    <w:multiLevelType w:val="multilevel"/>
    <w:tmpl w:val="55A2656C"/>
    <w:lvl w:ilvl="0">
      <w:start w:val="1"/>
      <w:numFmt w:val="japaneseCounting"/>
      <w:lvlText w:val="%1、"/>
      <w:lvlJc w:val="left"/>
      <w:pPr>
        <w:tabs>
          <w:tab w:val="left" w:pos="420"/>
        </w:tabs>
        <w:ind w:left="420" w:hanging="420"/>
      </w:pPr>
      <w:rPr>
        <w:rFonts w:cs="Times New Roman"/>
      </w:rPr>
    </w:lvl>
    <w:lvl w:ilvl="1">
      <w:start w:val="1"/>
      <w:numFmt w:val="decimal"/>
      <w:lvlText w:val="%2."/>
      <w:lvlJc w:val="left"/>
      <w:pPr>
        <w:tabs>
          <w:tab w:val="left" w:pos="780"/>
        </w:tabs>
        <w:ind w:left="780" w:hanging="360"/>
      </w:pPr>
      <w:rPr>
        <w:rFonts w:cs="Times New Roman"/>
      </w:rPr>
    </w:lvl>
    <w:lvl w:ilvl="2" w:tentative="1">
      <w:start w:val="1"/>
      <w:numFmt w:val="upperLetter"/>
      <w:lvlText w:val="%3．"/>
      <w:lvlJc w:val="left"/>
      <w:pPr>
        <w:tabs>
          <w:tab w:val="left" w:pos="1200"/>
        </w:tabs>
        <w:ind w:left="120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5">
    <w:nsid w:val="5B493635"/>
    <w:multiLevelType w:val="multilevel"/>
    <w:tmpl w:val="5B493635"/>
    <w:lvl w:ilvl="0">
      <w:start w:val="1"/>
      <w:numFmt w:val="decimal"/>
      <w:lvlText w:val="（%1）"/>
      <w:lvlJc w:val="left"/>
      <w:pPr>
        <w:ind w:left="1560" w:hanging="720"/>
      </w:pPr>
      <w:rPr>
        <w:rFonts w:cs="Times New Roman" w:hint="default"/>
      </w:rPr>
    </w:lvl>
    <w:lvl w:ilvl="1" w:tentative="1">
      <w:start w:val="1"/>
      <w:numFmt w:val="lowerLetter"/>
      <w:lvlText w:val="%2)"/>
      <w:lvlJc w:val="left"/>
      <w:pPr>
        <w:ind w:left="1680" w:hanging="420"/>
      </w:pPr>
      <w:rPr>
        <w:rFonts w:cs="Times New Roman"/>
      </w:rPr>
    </w:lvl>
    <w:lvl w:ilvl="2" w:tentative="1">
      <w:start w:val="1"/>
      <w:numFmt w:val="lowerRoman"/>
      <w:lvlText w:val="%3."/>
      <w:lvlJc w:val="right"/>
      <w:pPr>
        <w:ind w:left="2100" w:hanging="420"/>
      </w:pPr>
      <w:rPr>
        <w:rFonts w:cs="Times New Roman"/>
      </w:rPr>
    </w:lvl>
    <w:lvl w:ilvl="3" w:tentative="1">
      <w:start w:val="1"/>
      <w:numFmt w:val="decimal"/>
      <w:lvlText w:val="%4."/>
      <w:lvlJc w:val="left"/>
      <w:pPr>
        <w:ind w:left="2520" w:hanging="420"/>
      </w:pPr>
      <w:rPr>
        <w:rFonts w:cs="Times New Roman"/>
      </w:rPr>
    </w:lvl>
    <w:lvl w:ilvl="4" w:tentative="1">
      <w:start w:val="1"/>
      <w:numFmt w:val="lowerLetter"/>
      <w:lvlText w:val="%5)"/>
      <w:lvlJc w:val="left"/>
      <w:pPr>
        <w:ind w:left="2940" w:hanging="420"/>
      </w:pPr>
      <w:rPr>
        <w:rFonts w:cs="Times New Roman"/>
      </w:rPr>
    </w:lvl>
    <w:lvl w:ilvl="5" w:tentative="1">
      <w:start w:val="1"/>
      <w:numFmt w:val="lowerRoman"/>
      <w:lvlText w:val="%6."/>
      <w:lvlJc w:val="right"/>
      <w:pPr>
        <w:ind w:left="3360" w:hanging="420"/>
      </w:pPr>
      <w:rPr>
        <w:rFonts w:cs="Times New Roman"/>
      </w:rPr>
    </w:lvl>
    <w:lvl w:ilvl="6" w:tentative="1">
      <w:start w:val="1"/>
      <w:numFmt w:val="decimal"/>
      <w:lvlText w:val="%7."/>
      <w:lvlJc w:val="left"/>
      <w:pPr>
        <w:ind w:left="3780" w:hanging="420"/>
      </w:pPr>
      <w:rPr>
        <w:rFonts w:cs="Times New Roman"/>
      </w:rPr>
    </w:lvl>
    <w:lvl w:ilvl="7" w:tentative="1">
      <w:start w:val="1"/>
      <w:numFmt w:val="lowerLetter"/>
      <w:lvlText w:val="%8)"/>
      <w:lvlJc w:val="left"/>
      <w:pPr>
        <w:ind w:left="4200" w:hanging="420"/>
      </w:pPr>
      <w:rPr>
        <w:rFonts w:cs="Times New Roman"/>
      </w:rPr>
    </w:lvl>
    <w:lvl w:ilvl="8" w:tentative="1">
      <w:start w:val="1"/>
      <w:numFmt w:val="lowerRoman"/>
      <w:lvlText w:val="%9."/>
      <w:lvlJc w:val="right"/>
      <w:pPr>
        <w:ind w:left="4620" w:hanging="420"/>
      </w:pPr>
      <w:rPr>
        <w:rFonts w:cs="Times New Roman"/>
      </w:rPr>
    </w:lvl>
  </w:abstractNum>
  <w:abstractNum w:abstractNumId="6">
    <w:nsid w:val="67E33A71"/>
    <w:multiLevelType w:val="multilevel"/>
    <w:tmpl w:val="67E33A71"/>
    <w:lvl w:ilvl="0">
      <w:start w:val="1"/>
      <w:numFmt w:val="decimalEnclosedCircle"/>
      <w:lvlText w:val="%1"/>
      <w:lvlJc w:val="left"/>
      <w:pPr>
        <w:ind w:left="1080" w:hanging="360"/>
      </w:pPr>
      <w:rPr>
        <w:rFonts w:cs="Times New Roman" w:hint="default"/>
      </w:rPr>
    </w:lvl>
    <w:lvl w:ilvl="1" w:tentative="1">
      <w:start w:val="1"/>
      <w:numFmt w:val="lowerLetter"/>
      <w:lvlText w:val="%2)"/>
      <w:lvlJc w:val="left"/>
      <w:pPr>
        <w:ind w:left="1560" w:hanging="420"/>
      </w:pPr>
      <w:rPr>
        <w:rFonts w:cs="Times New Roman"/>
      </w:rPr>
    </w:lvl>
    <w:lvl w:ilvl="2" w:tentative="1">
      <w:start w:val="1"/>
      <w:numFmt w:val="lowerRoman"/>
      <w:lvlText w:val="%3."/>
      <w:lvlJc w:val="right"/>
      <w:pPr>
        <w:ind w:left="1980" w:hanging="420"/>
      </w:pPr>
      <w:rPr>
        <w:rFonts w:cs="Times New Roman"/>
      </w:rPr>
    </w:lvl>
    <w:lvl w:ilvl="3" w:tentative="1">
      <w:start w:val="1"/>
      <w:numFmt w:val="decimal"/>
      <w:lvlText w:val="%4."/>
      <w:lvlJc w:val="left"/>
      <w:pPr>
        <w:ind w:left="2400" w:hanging="420"/>
      </w:pPr>
      <w:rPr>
        <w:rFonts w:cs="Times New Roman"/>
      </w:rPr>
    </w:lvl>
    <w:lvl w:ilvl="4" w:tentative="1">
      <w:start w:val="1"/>
      <w:numFmt w:val="lowerLetter"/>
      <w:lvlText w:val="%5)"/>
      <w:lvlJc w:val="left"/>
      <w:pPr>
        <w:ind w:left="2820" w:hanging="420"/>
      </w:pPr>
      <w:rPr>
        <w:rFonts w:cs="Times New Roman"/>
      </w:rPr>
    </w:lvl>
    <w:lvl w:ilvl="5" w:tentative="1">
      <w:start w:val="1"/>
      <w:numFmt w:val="lowerRoman"/>
      <w:lvlText w:val="%6."/>
      <w:lvlJc w:val="right"/>
      <w:pPr>
        <w:ind w:left="3240" w:hanging="420"/>
      </w:pPr>
      <w:rPr>
        <w:rFonts w:cs="Times New Roman"/>
      </w:rPr>
    </w:lvl>
    <w:lvl w:ilvl="6" w:tentative="1">
      <w:start w:val="1"/>
      <w:numFmt w:val="decimal"/>
      <w:lvlText w:val="%7."/>
      <w:lvlJc w:val="left"/>
      <w:pPr>
        <w:ind w:left="3660" w:hanging="420"/>
      </w:pPr>
      <w:rPr>
        <w:rFonts w:cs="Times New Roman"/>
      </w:rPr>
    </w:lvl>
    <w:lvl w:ilvl="7" w:tentative="1">
      <w:start w:val="1"/>
      <w:numFmt w:val="lowerLetter"/>
      <w:lvlText w:val="%8)"/>
      <w:lvlJc w:val="left"/>
      <w:pPr>
        <w:ind w:left="4080" w:hanging="420"/>
      </w:pPr>
      <w:rPr>
        <w:rFonts w:cs="Times New Roman"/>
      </w:rPr>
    </w:lvl>
    <w:lvl w:ilvl="8" w:tentative="1">
      <w:start w:val="1"/>
      <w:numFmt w:val="lowerRoman"/>
      <w:lvlText w:val="%9."/>
      <w:lvlJc w:val="right"/>
      <w:pPr>
        <w:ind w:left="4500" w:hanging="420"/>
      </w:pPr>
      <w:rPr>
        <w:rFonts w:cs="Times New Roman"/>
      </w:rPr>
    </w:lvl>
  </w:abstractNum>
  <w:abstractNum w:abstractNumId="7">
    <w:nsid w:val="69095E6D"/>
    <w:multiLevelType w:val="multilevel"/>
    <w:tmpl w:val="69095E6D"/>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720"/>
      </w:pPr>
      <w:rPr>
        <w:rFonts w:cs="Times New Roman"/>
      </w:rPr>
    </w:lvl>
    <w:lvl w:ilvl="2" w:tentative="1">
      <w:start w:val="1"/>
      <w:numFmt w:val="japaneseCounting"/>
      <w:lvlText w:val="%3、"/>
      <w:lvlJc w:val="left"/>
      <w:pPr>
        <w:tabs>
          <w:tab w:val="left" w:pos="1260"/>
        </w:tabs>
        <w:ind w:left="1260" w:hanging="420"/>
      </w:pPr>
      <w:rPr>
        <w:rFonts w:cs="Times New Roman"/>
      </w:rPr>
    </w:lvl>
    <w:lvl w:ilvl="3" w:tentative="1">
      <w:start w:val="2"/>
      <w:numFmt w:val="decimal"/>
      <w:lvlText w:val="%4"/>
      <w:lvlJc w:val="left"/>
      <w:pPr>
        <w:tabs>
          <w:tab w:val="left" w:pos="6525"/>
        </w:tabs>
        <w:ind w:left="6525" w:hanging="5265"/>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num w:numId="1">
    <w:abstractNumId w:val="4"/>
    <w:lvlOverride w:ilvl="0">
      <w:startOverride w:val="1"/>
    </w:lvlOverride>
  </w:num>
  <w:num w:numId="2">
    <w:abstractNumId w:val="3"/>
    <w:lvlOverride w:ilvl="0">
      <w:startOverride w:val="1"/>
    </w:lvlOverride>
  </w:num>
  <w:num w:numId="3">
    <w:abstractNumId w:val="5"/>
  </w:num>
  <w:num w:numId="4">
    <w:abstractNumId w:val="7"/>
    <w:lvlOverride w:ilvl="0">
      <w:startOverride w:val="1"/>
    </w:lvlOverride>
  </w:num>
  <w:num w:numId="5">
    <w:abstractNumId w:val="1"/>
    <w:lvlOverride w:ilvl="0">
      <w:startOverride w:val="1"/>
    </w:lvlOverride>
  </w:num>
  <w:num w:numId="6">
    <w:abstractNumId w:val="2"/>
    <w:lvlOverride w:ilvl="0">
      <w:startOverride w:val="1"/>
    </w:lvlOverride>
  </w:num>
  <w:num w:numId="7">
    <w:abstractNumId w:val="0"/>
    <w:lvlOverride w:ilvl="0">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EED"/>
    <w:rsid w:val="000138C6"/>
    <w:rsid w:val="00064D23"/>
    <w:rsid w:val="000A23F8"/>
    <w:rsid w:val="00110247"/>
    <w:rsid w:val="00116772"/>
    <w:rsid w:val="00123B3A"/>
    <w:rsid w:val="00140909"/>
    <w:rsid w:val="001732AA"/>
    <w:rsid w:val="0018344A"/>
    <w:rsid w:val="00190509"/>
    <w:rsid w:val="00250EDA"/>
    <w:rsid w:val="00262CE9"/>
    <w:rsid w:val="003061CE"/>
    <w:rsid w:val="00315EF3"/>
    <w:rsid w:val="00356FF6"/>
    <w:rsid w:val="00393FEF"/>
    <w:rsid w:val="003F37BE"/>
    <w:rsid w:val="004066AE"/>
    <w:rsid w:val="00445FB6"/>
    <w:rsid w:val="004460B6"/>
    <w:rsid w:val="00452165"/>
    <w:rsid w:val="00481FD6"/>
    <w:rsid w:val="004C0A41"/>
    <w:rsid w:val="0054582E"/>
    <w:rsid w:val="00592CBB"/>
    <w:rsid w:val="005957FE"/>
    <w:rsid w:val="005C49FC"/>
    <w:rsid w:val="0062062A"/>
    <w:rsid w:val="00645936"/>
    <w:rsid w:val="0066108B"/>
    <w:rsid w:val="00703262"/>
    <w:rsid w:val="0074080E"/>
    <w:rsid w:val="00755A07"/>
    <w:rsid w:val="00757EED"/>
    <w:rsid w:val="00774E98"/>
    <w:rsid w:val="0079350E"/>
    <w:rsid w:val="007A1E57"/>
    <w:rsid w:val="007D22D6"/>
    <w:rsid w:val="007F22F1"/>
    <w:rsid w:val="007F38F0"/>
    <w:rsid w:val="0084677C"/>
    <w:rsid w:val="00871EF2"/>
    <w:rsid w:val="008E63E4"/>
    <w:rsid w:val="00934130"/>
    <w:rsid w:val="009561B7"/>
    <w:rsid w:val="00961051"/>
    <w:rsid w:val="00986D4C"/>
    <w:rsid w:val="00986E95"/>
    <w:rsid w:val="00990518"/>
    <w:rsid w:val="009B64BF"/>
    <w:rsid w:val="009E1E29"/>
    <w:rsid w:val="00A9085E"/>
    <w:rsid w:val="00B1523E"/>
    <w:rsid w:val="00BD41F7"/>
    <w:rsid w:val="00CE4C4C"/>
    <w:rsid w:val="00CE6945"/>
    <w:rsid w:val="00D06E4F"/>
    <w:rsid w:val="00D22363"/>
    <w:rsid w:val="00D468ED"/>
    <w:rsid w:val="00D52383"/>
    <w:rsid w:val="00D76CEF"/>
    <w:rsid w:val="00D848AE"/>
    <w:rsid w:val="00DE2361"/>
    <w:rsid w:val="00E30B25"/>
    <w:rsid w:val="00E74B77"/>
    <w:rsid w:val="00E94236"/>
    <w:rsid w:val="00EC6D41"/>
    <w:rsid w:val="00F8346D"/>
    <w:rsid w:val="00FD4EBA"/>
    <w:rsid w:val="00FE3125"/>
    <w:rsid w:val="00FF1BE5"/>
    <w:rsid w:val="41F46C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C6D4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C6D41"/>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EC6D41"/>
    <w:rPr>
      <w:rFonts w:cs="Times New Roman"/>
      <w:sz w:val="18"/>
      <w:szCs w:val="18"/>
    </w:rPr>
  </w:style>
  <w:style w:type="paragraph" w:styleId="a4">
    <w:name w:val="header"/>
    <w:basedOn w:val="a"/>
    <w:link w:val="Char0"/>
    <w:uiPriority w:val="99"/>
    <w:rsid w:val="00EC6D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EC6D41"/>
    <w:rPr>
      <w:rFonts w:cs="Times New Roman"/>
      <w:sz w:val="18"/>
      <w:szCs w:val="18"/>
    </w:rPr>
  </w:style>
  <w:style w:type="character" w:styleId="a5">
    <w:name w:val="Hyperlink"/>
    <w:basedOn w:val="a0"/>
    <w:uiPriority w:val="99"/>
    <w:rsid w:val="00EC6D41"/>
    <w:rPr>
      <w:rFonts w:cs="Times New Roman"/>
      <w:color w:val="0000FF"/>
      <w:u w:val="single"/>
    </w:rPr>
  </w:style>
  <w:style w:type="paragraph" w:customStyle="1" w:styleId="1">
    <w:name w:val="列出段落1"/>
    <w:basedOn w:val="a"/>
    <w:uiPriority w:val="99"/>
    <w:rsid w:val="00EC6D41"/>
    <w:pPr>
      <w:ind w:firstLineChars="200" w:firstLine="420"/>
    </w:pPr>
  </w:style>
  <w:style w:type="paragraph" w:customStyle="1" w:styleId="Char1">
    <w:name w:val="Char"/>
    <w:basedOn w:val="a"/>
    <w:uiPriority w:val="99"/>
    <w:rsid w:val="00250EDA"/>
    <w:rPr>
      <w:rFonts w:ascii="Tahoma" w:hAnsi="Tahoma" w:cs="Times New Roman"/>
      <w:sz w:val="24"/>
      <w:szCs w:val="20"/>
    </w:rPr>
  </w:style>
</w:styles>
</file>

<file path=word/webSettings.xml><?xml version="1.0" encoding="utf-8"?>
<w:webSettings xmlns:r="http://schemas.openxmlformats.org/officeDocument/2006/relationships" xmlns:w="http://schemas.openxmlformats.org/wordprocessingml/2006/main">
  <w:divs>
    <w:div w:id="908924917">
      <w:marLeft w:val="0"/>
      <w:marRight w:val="0"/>
      <w:marTop w:val="0"/>
      <w:marBottom w:val="0"/>
      <w:divBdr>
        <w:top w:val="none" w:sz="0" w:space="0" w:color="auto"/>
        <w:left w:val="none" w:sz="0" w:space="0" w:color="auto"/>
        <w:bottom w:val="none" w:sz="0" w:space="0" w:color="auto"/>
        <w:right w:val="none" w:sz="0" w:space="0" w:color="auto"/>
      </w:divBdr>
    </w:div>
    <w:div w:id="908924918">
      <w:marLeft w:val="0"/>
      <w:marRight w:val="0"/>
      <w:marTop w:val="0"/>
      <w:marBottom w:val="0"/>
      <w:divBdr>
        <w:top w:val="none" w:sz="0" w:space="0" w:color="auto"/>
        <w:left w:val="none" w:sz="0" w:space="0" w:color="auto"/>
        <w:bottom w:val="none" w:sz="0" w:space="0" w:color="auto"/>
        <w:right w:val="none" w:sz="0" w:space="0" w:color="auto"/>
      </w:divBdr>
    </w:div>
    <w:div w:id="908924919">
      <w:marLeft w:val="0"/>
      <w:marRight w:val="0"/>
      <w:marTop w:val="0"/>
      <w:marBottom w:val="0"/>
      <w:divBdr>
        <w:top w:val="none" w:sz="0" w:space="0" w:color="auto"/>
        <w:left w:val="none" w:sz="0" w:space="0" w:color="auto"/>
        <w:bottom w:val="none" w:sz="0" w:space="0" w:color="auto"/>
        <w:right w:val="none" w:sz="0" w:space="0" w:color="auto"/>
      </w:divBdr>
    </w:div>
    <w:div w:id="908924920">
      <w:marLeft w:val="0"/>
      <w:marRight w:val="0"/>
      <w:marTop w:val="0"/>
      <w:marBottom w:val="0"/>
      <w:divBdr>
        <w:top w:val="none" w:sz="0" w:space="0" w:color="auto"/>
        <w:left w:val="none" w:sz="0" w:space="0" w:color="auto"/>
        <w:bottom w:val="none" w:sz="0" w:space="0" w:color="auto"/>
        <w:right w:val="none" w:sz="0" w:space="0" w:color="auto"/>
      </w:divBdr>
    </w:div>
    <w:div w:id="908924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grawww.nju.edu.cn/content/py.as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1755</Words>
  <Characters>10006</Characters>
  <Application>Microsoft Office Word</Application>
  <DocSecurity>0</DocSecurity>
  <Lines>83</Lines>
  <Paragraphs>23</Paragraphs>
  <ScaleCrop>false</ScaleCrop>
  <Company>微软中国</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南京大学戏剧与影视学（一级学科）研究生培养方案</dc:title>
  <dc:subject/>
  <dc:creator>User</dc:creator>
  <cp:keywords/>
  <dc:description/>
  <cp:lastModifiedBy>Administrator</cp:lastModifiedBy>
  <cp:revision>13</cp:revision>
  <dcterms:created xsi:type="dcterms:W3CDTF">2014-06-23T06:14:00Z</dcterms:created>
  <dcterms:modified xsi:type="dcterms:W3CDTF">2016-07-08T01:53:00Z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