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BE3" w:rsidRPr="00BC12A5" w:rsidRDefault="007935C9" w:rsidP="00EF1EB1">
      <w:pPr>
        <w:ind w:firstLineChars="200" w:firstLine="482"/>
        <w:jc w:val="left"/>
        <w:rPr>
          <w:rFonts w:ascii="楷体" w:eastAsia="楷体" w:hAnsi="楷体"/>
          <w:b/>
          <w:sz w:val="24"/>
        </w:rPr>
      </w:pPr>
      <w:r w:rsidRPr="00BC12A5">
        <w:rPr>
          <w:rFonts w:ascii="楷体" w:eastAsia="楷体" w:hAnsi="楷体" w:hint="eastAsia"/>
          <w:b/>
          <w:sz w:val="24"/>
        </w:rPr>
        <w:t>电子科学与技术(0809一级学科)</w:t>
      </w:r>
      <w:r w:rsidR="003A3BE3" w:rsidRPr="00BC12A5">
        <w:rPr>
          <w:rFonts w:ascii="楷体" w:eastAsia="楷体" w:hAnsi="楷体" w:hint="eastAsia"/>
          <w:b/>
          <w:sz w:val="24"/>
        </w:rPr>
        <w:t>、无线电物理</w:t>
      </w:r>
      <w:r w:rsidR="00BC12A5" w:rsidRPr="00BC12A5">
        <w:rPr>
          <w:rFonts w:ascii="楷体" w:eastAsia="楷体" w:hAnsi="楷体" w:hint="eastAsia"/>
          <w:b/>
          <w:sz w:val="24"/>
        </w:rPr>
        <w:t>（070208</w:t>
      </w:r>
      <w:r w:rsidR="00BC12A5" w:rsidRPr="00BC12A5">
        <w:rPr>
          <w:rFonts w:ascii="楷体" w:eastAsia="楷体" w:hAnsi="楷体"/>
          <w:b/>
          <w:sz w:val="24"/>
        </w:rPr>
        <w:t xml:space="preserve"> </w:t>
      </w:r>
      <w:r w:rsidR="00BC12A5" w:rsidRPr="00BC12A5">
        <w:rPr>
          <w:rFonts w:ascii="楷体" w:eastAsia="楷体" w:hAnsi="楷体" w:hint="eastAsia"/>
          <w:b/>
          <w:sz w:val="24"/>
        </w:rPr>
        <w:t>二级学科）</w:t>
      </w:r>
    </w:p>
    <w:p w:rsidR="007935C9" w:rsidRPr="00BC12A5" w:rsidRDefault="007935C9" w:rsidP="00703532">
      <w:pPr>
        <w:ind w:firstLineChars="1100" w:firstLine="2650"/>
        <w:jc w:val="left"/>
        <w:rPr>
          <w:rFonts w:ascii="楷体" w:eastAsia="楷体" w:hAnsi="楷体"/>
          <w:b/>
          <w:sz w:val="24"/>
        </w:rPr>
      </w:pPr>
      <w:r w:rsidRPr="00BC12A5">
        <w:rPr>
          <w:rFonts w:ascii="楷体" w:eastAsia="楷体" w:hAnsi="楷体" w:hint="eastAsia"/>
          <w:b/>
          <w:sz w:val="24"/>
        </w:rPr>
        <w:t>博士研究生培养方案</w:t>
      </w:r>
    </w:p>
    <w:p w:rsidR="00767048" w:rsidRPr="00096349" w:rsidRDefault="00767048" w:rsidP="00096349">
      <w:pPr>
        <w:pStyle w:val="ac"/>
        <w:numPr>
          <w:ilvl w:val="0"/>
          <w:numId w:val="22"/>
        </w:numPr>
        <w:ind w:firstLineChars="0"/>
        <w:jc w:val="left"/>
        <w:rPr>
          <w:rFonts w:ascii="仿宋" w:eastAsia="仿宋" w:hAnsi="仿宋"/>
          <w:b/>
          <w:szCs w:val="21"/>
        </w:rPr>
      </w:pPr>
      <w:r w:rsidRPr="00096349">
        <w:rPr>
          <w:rFonts w:ascii="仿宋" w:eastAsia="仿宋" w:hAnsi="仿宋" w:hint="eastAsia"/>
          <w:b/>
          <w:szCs w:val="21"/>
        </w:rPr>
        <w:t>学科介绍</w:t>
      </w:r>
    </w:p>
    <w:p w:rsidR="00767048" w:rsidRDefault="00767048" w:rsidP="00767048">
      <w:pPr>
        <w:pStyle w:val="ac"/>
        <w:rPr>
          <w:rFonts w:ascii="仿宋" w:eastAsia="仿宋" w:hAnsi="仿宋"/>
          <w:szCs w:val="21"/>
        </w:rPr>
      </w:pPr>
      <w:r>
        <w:rPr>
          <w:rFonts w:ascii="仿宋" w:eastAsia="仿宋" w:hAnsi="仿宋" w:hint="eastAsia"/>
          <w:szCs w:val="21"/>
        </w:rPr>
        <w:t>电子科学与技术一级学科下包含电路与系统、物理电子学、微电子学与固体电子学、电磁场与微波技术等二级学科。</w:t>
      </w:r>
    </w:p>
    <w:p w:rsidR="006C5CC5" w:rsidRDefault="006B33D6" w:rsidP="00767048">
      <w:pPr>
        <w:pStyle w:val="ac"/>
        <w:rPr>
          <w:rFonts w:ascii="仿宋" w:eastAsia="仿宋" w:hAnsi="仿宋"/>
          <w:szCs w:val="21"/>
        </w:rPr>
      </w:pPr>
      <w:r w:rsidRPr="006B33D6">
        <w:rPr>
          <w:rFonts w:ascii="仿宋" w:eastAsia="仿宋" w:hAnsi="仿宋"/>
          <w:szCs w:val="21"/>
        </w:rPr>
        <w:t>现已形成了由郑有炓院士</w:t>
      </w:r>
      <w:r>
        <w:rPr>
          <w:rFonts w:ascii="仿宋" w:eastAsia="仿宋" w:hAnsi="仿宋" w:hint="eastAsia"/>
          <w:szCs w:val="21"/>
        </w:rPr>
        <w:t>、吴培亨院士</w:t>
      </w:r>
      <w:r w:rsidRPr="006B33D6">
        <w:rPr>
          <w:rFonts w:ascii="仿宋" w:eastAsia="仿宋" w:hAnsi="仿宋"/>
          <w:szCs w:val="21"/>
        </w:rPr>
        <w:t>为学科领导人，包括教育部长江特聘教授及国家杰出青年科学基金获得者等中青年学术带头人和高素质青年学术骨干教师在内的优秀学科研究群体</w:t>
      </w:r>
      <w:r>
        <w:rPr>
          <w:rFonts w:ascii="仿宋" w:eastAsia="仿宋" w:hAnsi="仿宋" w:hint="eastAsia"/>
          <w:szCs w:val="21"/>
        </w:rPr>
        <w:t>。</w:t>
      </w:r>
      <w:r w:rsidR="006C5CC5">
        <w:rPr>
          <w:rFonts w:ascii="仿宋" w:eastAsia="仿宋" w:hAnsi="仿宋" w:hint="eastAsia"/>
          <w:szCs w:val="21"/>
        </w:rPr>
        <w:t>已建立包括</w:t>
      </w:r>
      <w:r w:rsidR="00BF7FC6">
        <w:rPr>
          <w:rFonts w:ascii="仿宋" w:eastAsia="仿宋" w:hAnsi="仿宋" w:hint="eastAsia"/>
          <w:szCs w:val="21"/>
        </w:rPr>
        <w:t>“江苏省先进电磁波调控技术重点实验室”、</w:t>
      </w:r>
      <w:r w:rsidR="006C5CC5">
        <w:rPr>
          <w:rFonts w:ascii="仿宋" w:eastAsia="仿宋" w:hAnsi="仿宋" w:hint="eastAsia"/>
          <w:szCs w:val="21"/>
        </w:rPr>
        <w:t>“</w:t>
      </w:r>
      <w:r w:rsidR="006C5CC5" w:rsidRPr="006B33D6">
        <w:rPr>
          <w:rFonts w:ascii="仿宋" w:eastAsia="仿宋" w:hAnsi="仿宋"/>
          <w:szCs w:val="21"/>
        </w:rPr>
        <w:t>江苏省光电信息功能材料重点实验室</w:t>
      </w:r>
      <w:r w:rsidR="006C5CC5">
        <w:rPr>
          <w:rFonts w:ascii="仿宋" w:eastAsia="仿宋" w:hAnsi="仿宋" w:hint="eastAsia"/>
          <w:szCs w:val="21"/>
        </w:rPr>
        <w:t>”、“</w:t>
      </w:r>
      <w:r w:rsidR="006C5CC5" w:rsidRPr="006B33D6">
        <w:rPr>
          <w:rFonts w:ascii="仿宋" w:eastAsia="仿宋" w:hAnsi="仿宋"/>
          <w:szCs w:val="21"/>
        </w:rPr>
        <w:t>江苏省固态照明与节能电子学</w:t>
      </w:r>
      <w:r w:rsidR="006C5CC5" w:rsidRPr="006B33D6">
        <w:rPr>
          <w:rFonts w:ascii="仿宋" w:eastAsia="仿宋" w:hAnsi="仿宋" w:hint="eastAsia"/>
          <w:szCs w:val="21"/>
        </w:rPr>
        <w:t>协同创新中心</w:t>
      </w:r>
      <w:r w:rsidR="006C5CC5">
        <w:rPr>
          <w:rFonts w:ascii="仿宋" w:eastAsia="仿宋" w:hAnsi="仿宋" w:hint="eastAsia"/>
          <w:szCs w:val="21"/>
        </w:rPr>
        <w:t>”、“</w:t>
      </w:r>
      <w:r w:rsidR="006C5CC5" w:rsidRPr="006B33D6">
        <w:rPr>
          <w:rFonts w:ascii="仿宋" w:eastAsia="仿宋" w:hAnsi="仿宋"/>
          <w:szCs w:val="21"/>
        </w:rPr>
        <w:t>半导体节能器件及材料国家地方联合工程研究中心</w:t>
      </w:r>
      <w:r w:rsidR="006C5CC5">
        <w:rPr>
          <w:rFonts w:ascii="仿宋" w:eastAsia="仿宋" w:hAnsi="仿宋" w:hint="eastAsia"/>
          <w:szCs w:val="21"/>
        </w:rPr>
        <w:t>”、“</w:t>
      </w:r>
      <w:r w:rsidR="006C5CC5" w:rsidRPr="006B33D6">
        <w:rPr>
          <w:rFonts w:ascii="仿宋" w:eastAsia="仿宋" w:hAnsi="仿宋"/>
          <w:szCs w:val="21"/>
        </w:rPr>
        <w:t>光电材料与芯片技术教育部工程研究中心</w:t>
      </w:r>
      <w:r w:rsidR="006C5CC5">
        <w:rPr>
          <w:rFonts w:ascii="仿宋" w:eastAsia="仿宋" w:hAnsi="仿宋" w:hint="eastAsia"/>
          <w:szCs w:val="21"/>
        </w:rPr>
        <w:t>”、“</w:t>
      </w:r>
      <w:r w:rsidR="006C5CC5" w:rsidRPr="006C5CC5">
        <w:rPr>
          <w:rFonts w:ascii="仿宋" w:eastAsia="仿宋" w:hAnsi="仿宋"/>
          <w:szCs w:val="21"/>
        </w:rPr>
        <w:t>先进器件与信息功能材料实验室</w:t>
      </w:r>
      <w:r w:rsidR="006C5CC5" w:rsidRPr="006C5CC5">
        <w:rPr>
          <w:rFonts w:ascii="Calibri" w:eastAsia="仿宋" w:hAnsi="Calibri" w:cs="Calibri"/>
          <w:szCs w:val="21"/>
        </w:rPr>
        <w:t> </w:t>
      </w:r>
      <w:r w:rsidR="006C5CC5">
        <w:rPr>
          <w:rFonts w:ascii="仿宋" w:eastAsia="仿宋" w:hAnsi="仿宋" w:hint="eastAsia"/>
          <w:szCs w:val="21"/>
        </w:rPr>
        <w:t>”、“</w:t>
      </w:r>
      <w:r w:rsidR="006C5CC5" w:rsidRPr="006C5CC5">
        <w:rPr>
          <w:rFonts w:ascii="仿宋" w:eastAsia="仿宋" w:hAnsi="仿宋"/>
          <w:szCs w:val="21"/>
        </w:rPr>
        <w:t>微纳集成技术与光电芯片实验室</w:t>
      </w:r>
      <w:r w:rsidR="006C5CC5">
        <w:rPr>
          <w:rFonts w:ascii="仿宋" w:eastAsia="仿宋" w:hAnsi="仿宋" w:hint="eastAsia"/>
          <w:szCs w:val="21"/>
        </w:rPr>
        <w:t>”、</w:t>
      </w:r>
      <w:r w:rsidR="00B543BC">
        <w:rPr>
          <w:rFonts w:ascii="仿宋" w:eastAsia="仿宋" w:hAnsi="仿宋" w:hint="eastAsia"/>
          <w:szCs w:val="21"/>
        </w:rPr>
        <w:t>“</w:t>
      </w:r>
      <w:r w:rsidR="00B543BC" w:rsidRPr="006C5CC5">
        <w:rPr>
          <w:rFonts w:ascii="仿宋" w:eastAsia="仿宋" w:hAnsi="仿宋"/>
          <w:szCs w:val="21"/>
        </w:rPr>
        <w:t>超导电子学研究所</w:t>
      </w:r>
      <w:r w:rsidR="00B543BC">
        <w:rPr>
          <w:rFonts w:ascii="仿宋" w:eastAsia="仿宋" w:hAnsi="仿宋" w:hint="eastAsia"/>
          <w:szCs w:val="21"/>
        </w:rPr>
        <w:t>”、“</w:t>
      </w:r>
      <w:r w:rsidR="00B543BC" w:rsidRPr="006C5CC5">
        <w:rPr>
          <w:rFonts w:ascii="仿宋" w:eastAsia="仿宋" w:hAnsi="仿宋"/>
          <w:szCs w:val="21"/>
        </w:rPr>
        <w:t>微波技术研究室</w:t>
      </w:r>
      <w:r w:rsidR="00B543BC">
        <w:rPr>
          <w:rFonts w:ascii="仿宋" w:eastAsia="仿宋" w:hAnsi="仿宋" w:hint="eastAsia"/>
          <w:szCs w:val="21"/>
        </w:rPr>
        <w:t>”、</w:t>
      </w:r>
      <w:r w:rsidR="006C5CC5">
        <w:rPr>
          <w:rFonts w:ascii="仿宋" w:eastAsia="仿宋" w:hAnsi="仿宋" w:hint="eastAsia"/>
          <w:szCs w:val="21"/>
        </w:rPr>
        <w:t>“</w:t>
      </w:r>
      <w:r w:rsidR="006C5CC5" w:rsidRPr="006C5CC5">
        <w:rPr>
          <w:rFonts w:ascii="仿宋" w:eastAsia="仿宋" w:hAnsi="仿宋"/>
          <w:szCs w:val="21"/>
        </w:rPr>
        <w:t>嵌入式软件研发中心与现代图像工程实验室</w:t>
      </w:r>
      <w:r w:rsidR="006C5CC5">
        <w:rPr>
          <w:rFonts w:ascii="仿宋" w:eastAsia="仿宋" w:hAnsi="仿宋" w:hint="eastAsia"/>
          <w:szCs w:val="21"/>
        </w:rPr>
        <w:t>”</w:t>
      </w:r>
      <w:r w:rsidR="00B543BC" w:rsidRPr="00B543BC">
        <w:rPr>
          <w:rFonts w:ascii="仿宋" w:eastAsia="仿宋" w:hAnsi="仿宋" w:hint="eastAsia"/>
          <w:szCs w:val="21"/>
        </w:rPr>
        <w:t xml:space="preserve"> </w:t>
      </w:r>
      <w:r w:rsidR="00B543BC">
        <w:rPr>
          <w:rFonts w:ascii="仿宋" w:eastAsia="仿宋" w:hAnsi="仿宋" w:hint="eastAsia"/>
          <w:szCs w:val="21"/>
        </w:rPr>
        <w:t>等主要研究机构</w:t>
      </w:r>
      <w:r w:rsidR="006C5CC5">
        <w:rPr>
          <w:rFonts w:ascii="仿宋" w:eastAsia="仿宋" w:hAnsi="仿宋" w:hint="eastAsia"/>
          <w:szCs w:val="21"/>
        </w:rPr>
        <w:t>。</w:t>
      </w:r>
    </w:p>
    <w:p w:rsidR="005A09A1" w:rsidRDefault="005A09A1" w:rsidP="00767048">
      <w:pPr>
        <w:pStyle w:val="ac"/>
        <w:rPr>
          <w:rFonts w:ascii="仿宋" w:eastAsia="仿宋" w:hAnsi="仿宋"/>
          <w:szCs w:val="21"/>
        </w:rPr>
      </w:pPr>
      <w:r w:rsidRPr="006C5CC5">
        <w:rPr>
          <w:rFonts w:ascii="仿宋" w:eastAsia="仿宋" w:hAnsi="仿宋" w:hint="eastAsia"/>
          <w:szCs w:val="21"/>
        </w:rPr>
        <w:t>“微电子与光电子学”学科目前承担着大量光电信息功能材料与器件领域的前沿课题，包括国家</w:t>
      </w:r>
      <w:r w:rsidRPr="006C5CC5">
        <w:rPr>
          <w:rFonts w:ascii="仿宋" w:eastAsia="仿宋" w:hAnsi="仿宋"/>
          <w:szCs w:val="21"/>
        </w:rPr>
        <w:t>“973”计划、“863”计划、重大科研仪器研制项目、国家自然科学基金创新群体项目等各类项目课题，以及江苏省“双创计划”、高技术研究计划、产学研前瞻性联合研究项目、创新人才基金和基础研究计划等，取得了丰硕的研究成果</w:t>
      </w:r>
      <w:r w:rsidRPr="006C5CC5">
        <w:rPr>
          <w:rFonts w:ascii="仿宋" w:eastAsia="仿宋" w:hAnsi="仿宋" w:hint="eastAsia"/>
          <w:szCs w:val="21"/>
        </w:rPr>
        <w:t>。</w:t>
      </w:r>
      <w:r w:rsidR="00B543BC" w:rsidRPr="00B543BC">
        <w:rPr>
          <w:rFonts w:ascii="仿宋" w:eastAsia="仿宋" w:hAnsi="仿宋" w:hint="eastAsia"/>
          <w:szCs w:val="21"/>
        </w:rPr>
        <w:t>其中</w:t>
      </w:r>
      <w:r w:rsidR="00B543BC" w:rsidRPr="00B543BC">
        <w:rPr>
          <w:rFonts w:ascii="仿宋" w:eastAsia="仿宋" w:hAnsi="仿宋"/>
          <w:szCs w:val="21"/>
        </w:rPr>
        <w:t>“若干低维半导体表界面调控及器件基础研究”</w:t>
      </w:r>
      <w:r w:rsidR="00B543BC" w:rsidRPr="00B543BC">
        <w:rPr>
          <w:rFonts w:ascii="仿宋" w:eastAsia="仿宋" w:hAnsi="仿宋" w:hint="eastAsia"/>
          <w:szCs w:val="21"/>
        </w:rPr>
        <w:t>获得</w:t>
      </w:r>
      <w:r w:rsidR="00B543BC" w:rsidRPr="00B543BC">
        <w:rPr>
          <w:rFonts w:ascii="仿宋" w:eastAsia="仿宋" w:hAnsi="仿宋"/>
          <w:szCs w:val="21"/>
        </w:rPr>
        <w:t>2017年度国家科学技术奖自然科学二等奖；“先进日盲紫外探测与应用技术”</w:t>
      </w:r>
      <w:r w:rsidR="00B543BC" w:rsidRPr="00B543BC">
        <w:rPr>
          <w:rFonts w:ascii="仿宋" w:eastAsia="仿宋" w:hAnsi="仿宋" w:hint="eastAsia"/>
          <w:szCs w:val="21"/>
        </w:rPr>
        <w:t>获得</w:t>
      </w:r>
      <w:r w:rsidR="00B543BC" w:rsidRPr="00B543BC">
        <w:rPr>
          <w:rFonts w:ascii="仿宋" w:eastAsia="仿宋" w:hAnsi="仿宋"/>
          <w:szCs w:val="21"/>
        </w:rPr>
        <w:t>2016年度国家技术发明</w:t>
      </w:r>
      <w:r w:rsidR="00B543BC" w:rsidRPr="00B543BC">
        <w:rPr>
          <w:rFonts w:ascii="仿宋" w:eastAsia="仿宋" w:hAnsi="仿宋" w:hint="eastAsia"/>
          <w:szCs w:val="21"/>
        </w:rPr>
        <w:t>二等奖；</w:t>
      </w:r>
      <w:r w:rsidR="00B543BC" w:rsidRPr="00B543BC">
        <w:rPr>
          <w:rFonts w:ascii="仿宋" w:eastAsia="仿宋" w:hAnsi="仿宋"/>
          <w:szCs w:val="21"/>
        </w:rPr>
        <w:t>“新型半导体异质结构和器件物理研究”获得2004年度国家科学技术奖自然科学二等奖；“有序可控硅基量子结构的构筑原理和光电子特性”获得2003国家科学技术奖自然科学二等奖</w:t>
      </w:r>
      <w:r w:rsidR="00B543BC" w:rsidRPr="00B543BC">
        <w:rPr>
          <w:rFonts w:ascii="仿宋" w:eastAsia="仿宋" w:hAnsi="仿宋" w:hint="eastAsia"/>
          <w:szCs w:val="21"/>
        </w:rPr>
        <w:t>；</w:t>
      </w:r>
      <w:r w:rsidR="00B543BC" w:rsidRPr="00B543BC">
        <w:rPr>
          <w:rFonts w:ascii="仿宋" w:eastAsia="仿宋" w:hAnsi="仿宋"/>
          <w:szCs w:val="21"/>
        </w:rPr>
        <w:t>“半导体纳米结构调控、集成及器件应用基础”等成果获得</w:t>
      </w:r>
      <w:r w:rsidR="00B543BC" w:rsidRPr="00B543BC">
        <w:rPr>
          <w:rFonts w:ascii="仿宋" w:eastAsia="仿宋" w:hAnsi="仿宋" w:hint="eastAsia"/>
          <w:szCs w:val="21"/>
        </w:rPr>
        <w:t>省部级科技奖</w:t>
      </w:r>
      <w:r w:rsidR="00B543BC" w:rsidRPr="00B543BC">
        <w:rPr>
          <w:rFonts w:ascii="仿宋" w:eastAsia="仿宋" w:hAnsi="仿宋"/>
          <w:szCs w:val="21"/>
        </w:rPr>
        <w:t>14项。近几年获得授权国家发明专利100余项，</w:t>
      </w:r>
      <w:r w:rsidR="00B543BC" w:rsidRPr="00B543BC">
        <w:rPr>
          <w:rFonts w:ascii="仿宋" w:eastAsia="仿宋" w:hAnsi="仿宋" w:hint="eastAsia"/>
          <w:szCs w:val="21"/>
        </w:rPr>
        <w:t>并在</w:t>
      </w:r>
      <w:r w:rsidR="00B543BC" w:rsidRPr="00B543BC">
        <w:rPr>
          <w:rFonts w:ascii="仿宋" w:eastAsia="仿宋" w:hAnsi="仿宋"/>
          <w:szCs w:val="21"/>
        </w:rPr>
        <w:t>Nature</w:t>
      </w:r>
      <w:r w:rsidR="00B543BC" w:rsidRPr="00B543BC">
        <w:rPr>
          <w:rFonts w:ascii="Calibri" w:eastAsia="仿宋" w:hAnsi="Calibri" w:cs="Calibri"/>
          <w:szCs w:val="21"/>
        </w:rPr>
        <w:t> </w:t>
      </w:r>
      <w:r w:rsidR="00B543BC" w:rsidRPr="00B543BC">
        <w:rPr>
          <w:rFonts w:ascii="仿宋" w:eastAsia="仿宋" w:hAnsi="仿宋"/>
          <w:szCs w:val="21"/>
        </w:rPr>
        <w:t>Nanotechnology、Nature</w:t>
      </w:r>
      <w:r w:rsidR="00B543BC" w:rsidRPr="00B543BC">
        <w:rPr>
          <w:rFonts w:ascii="Calibri" w:eastAsia="仿宋" w:hAnsi="Calibri" w:cs="Calibri"/>
          <w:szCs w:val="21"/>
        </w:rPr>
        <w:t> </w:t>
      </w:r>
      <w:r w:rsidR="00B543BC" w:rsidRPr="00B543BC">
        <w:rPr>
          <w:rFonts w:ascii="仿宋" w:eastAsia="仿宋" w:hAnsi="仿宋"/>
          <w:szCs w:val="21"/>
        </w:rPr>
        <w:t>Electronics等国际顶级学术期刊发表论文。同时，还与国际及香港和台湾地区的知名大学、研究所建立了长期交流合作关系，互派研究生和学者进行合作研究，共同承担国际合作交流课题。</w:t>
      </w:r>
    </w:p>
    <w:p w:rsidR="006B33D6" w:rsidRDefault="006C5CC5" w:rsidP="00767048">
      <w:pPr>
        <w:pStyle w:val="ac"/>
        <w:rPr>
          <w:rFonts w:ascii="仿宋" w:eastAsia="仿宋" w:hAnsi="仿宋"/>
          <w:szCs w:val="21"/>
        </w:rPr>
      </w:pPr>
      <w:r w:rsidRPr="006C5CC5">
        <w:rPr>
          <w:rFonts w:ascii="仿宋" w:eastAsia="仿宋" w:hAnsi="仿宋"/>
          <w:szCs w:val="21"/>
        </w:rPr>
        <w:t>超导电子学研究所主要致力超导电子器件在太赫兹波段或量子信息技术中的应用，享有很高的国际声誉；微波技术研究室既从事新型人工电磁材料的理论分析、设计和应用等前沿研究，也开展实用电磁波吸波材料的全方位研究，为我国国民经济现代化做出了重要贡献。</w:t>
      </w:r>
      <w:r w:rsidRPr="006B33D6">
        <w:rPr>
          <w:rFonts w:ascii="仿宋" w:eastAsia="仿宋" w:hAnsi="仿宋"/>
          <w:szCs w:val="21"/>
        </w:rPr>
        <w:t xml:space="preserve"> </w:t>
      </w:r>
    </w:p>
    <w:p w:rsidR="006C5CC5" w:rsidRDefault="006C5CC5" w:rsidP="00767048">
      <w:pPr>
        <w:pStyle w:val="ac"/>
        <w:rPr>
          <w:rFonts w:ascii="仿宋" w:eastAsia="仿宋" w:hAnsi="仿宋"/>
          <w:szCs w:val="21"/>
        </w:rPr>
      </w:pPr>
      <w:r w:rsidRPr="006C5CC5">
        <w:rPr>
          <w:rFonts w:ascii="仿宋" w:eastAsia="仿宋" w:hAnsi="仿宋"/>
          <w:szCs w:val="21"/>
        </w:rPr>
        <w:t>嵌入式软件研发中心与现代图像工程实验室依托于电路与系统二级学科</w:t>
      </w:r>
      <w:r w:rsidR="00B543BC">
        <w:rPr>
          <w:rFonts w:ascii="仿宋" w:eastAsia="仿宋" w:hAnsi="仿宋" w:hint="eastAsia"/>
          <w:szCs w:val="21"/>
        </w:rPr>
        <w:t>，</w:t>
      </w:r>
      <w:r w:rsidRPr="006C5CC5">
        <w:rPr>
          <w:rFonts w:ascii="仿宋" w:eastAsia="仿宋" w:hAnsi="仿宋"/>
          <w:szCs w:val="21"/>
        </w:rPr>
        <w:t>研发内容涉及电子信息类多学科交叉，主要研究图像控制与作业自动化，视频显示及处理，3D扫描技术研究与现实增强，近场图像，嵌入式操作系统，嵌入式智能系统，嵌入式手持设备应用软件开发，无线自组织网络及无线传感器网络算法与设备，智能机器人，物联网传感器网络路由技术，高安全度生物特征身份识别等最新的IT技术，取得一系列具有自主知识产权的核心技术，多项科研项目通过省部级鉴定或验收。</w:t>
      </w:r>
    </w:p>
    <w:p w:rsidR="007935C9" w:rsidRPr="00096349" w:rsidRDefault="006C5CC5" w:rsidP="007935C9">
      <w:pPr>
        <w:jc w:val="left"/>
        <w:rPr>
          <w:rFonts w:ascii="仿宋" w:eastAsia="仿宋" w:hAnsi="仿宋"/>
          <w:b/>
          <w:szCs w:val="21"/>
        </w:rPr>
      </w:pPr>
      <w:r w:rsidRPr="00096349">
        <w:rPr>
          <w:rFonts w:ascii="仿宋" w:eastAsia="仿宋" w:hAnsi="仿宋" w:hint="eastAsia"/>
          <w:b/>
          <w:szCs w:val="21"/>
        </w:rPr>
        <w:t>二</w:t>
      </w:r>
      <w:r w:rsidR="007935C9" w:rsidRPr="00096349">
        <w:rPr>
          <w:rFonts w:ascii="仿宋" w:eastAsia="仿宋" w:hAnsi="仿宋" w:hint="eastAsia"/>
          <w:b/>
          <w:szCs w:val="21"/>
        </w:rPr>
        <w:t>、培养目标</w:t>
      </w:r>
    </w:p>
    <w:p w:rsidR="007935C9" w:rsidRPr="007935C9" w:rsidRDefault="007935C9" w:rsidP="007935C9">
      <w:pPr>
        <w:jc w:val="left"/>
        <w:rPr>
          <w:rFonts w:ascii="仿宋" w:eastAsia="仿宋" w:hAnsi="仿宋"/>
          <w:szCs w:val="21"/>
        </w:rPr>
      </w:pPr>
      <w:r w:rsidRPr="007935C9">
        <w:rPr>
          <w:rFonts w:ascii="仿宋" w:eastAsia="仿宋" w:hAnsi="仿宋" w:hint="eastAsia"/>
          <w:szCs w:val="21"/>
        </w:rPr>
        <w:t xml:space="preserve">　　牢固树立爱校、爱国、爱中华民族的思想，具备坚持真理、献身科学的勇气和品质以及科学职业道德、敬业精神、团结合作精神。</w:t>
      </w:r>
    </w:p>
    <w:p w:rsidR="007935C9" w:rsidRPr="007935C9" w:rsidRDefault="007935C9" w:rsidP="006C5CC5">
      <w:pPr>
        <w:ind w:firstLineChars="200" w:firstLine="420"/>
        <w:jc w:val="left"/>
        <w:rPr>
          <w:rFonts w:ascii="仿宋" w:eastAsia="仿宋" w:hAnsi="仿宋"/>
          <w:szCs w:val="21"/>
        </w:rPr>
      </w:pPr>
      <w:r w:rsidRPr="007935C9">
        <w:rPr>
          <w:rFonts w:ascii="仿宋" w:eastAsia="仿宋" w:hAnsi="仿宋" w:hint="eastAsia"/>
          <w:szCs w:val="21"/>
        </w:rPr>
        <w:t>博士研究生不仅要掌握本学科</w:t>
      </w:r>
      <w:r w:rsidR="00730D58">
        <w:rPr>
          <w:rFonts w:ascii="仿宋" w:eastAsia="仿宋" w:hAnsi="仿宋" w:hint="eastAsia"/>
          <w:szCs w:val="21"/>
        </w:rPr>
        <w:t>系统的</w:t>
      </w:r>
      <w:r w:rsidRPr="007935C9">
        <w:rPr>
          <w:rFonts w:ascii="仿宋" w:eastAsia="仿宋" w:hAnsi="仿宋" w:hint="eastAsia"/>
          <w:szCs w:val="21"/>
        </w:rPr>
        <w:t>理论</w:t>
      </w:r>
      <w:r w:rsidR="004F4EF2">
        <w:rPr>
          <w:rFonts w:ascii="仿宋" w:eastAsia="仿宋" w:hAnsi="仿宋" w:hint="eastAsia"/>
          <w:szCs w:val="21"/>
        </w:rPr>
        <w:t>知识</w:t>
      </w:r>
      <w:r w:rsidRPr="007935C9">
        <w:rPr>
          <w:rFonts w:ascii="仿宋" w:eastAsia="仿宋" w:hAnsi="仿宋" w:hint="eastAsia"/>
          <w:szCs w:val="21"/>
        </w:rPr>
        <w:t>和</w:t>
      </w:r>
      <w:r w:rsidR="00730D58">
        <w:rPr>
          <w:rFonts w:ascii="仿宋" w:eastAsia="仿宋" w:hAnsi="仿宋" w:hint="eastAsia"/>
          <w:szCs w:val="21"/>
        </w:rPr>
        <w:t>全面</w:t>
      </w:r>
      <w:r w:rsidR="00730D58" w:rsidRPr="007935C9">
        <w:rPr>
          <w:rFonts w:ascii="仿宋" w:eastAsia="仿宋" w:hAnsi="仿宋" w:hint="eastAsia"/>
          <w:szCs w:val="21"/>
        </w:rPr>
        <w:t>的专业</w:t>
      </w:r>
      <w:r w:rsidRPr="007935C9">
        <w:rPr>
          <w:rFonts w:ascii="仿宋" w:eastAsia="仿宋" w:hAnsi="仿宋" w:hint="eastAsia"/>
          <w:szCs w:val="21"/>
        </w:rPr>
        <w:t>实验</w:t>
      </w:r>
      <w:r w:rsidR="00730D58">
        <w:rPr>
          <w:rFonts w:ascii="仿宋" w:eastAsia="仿宋" w:hAnsi="仿宋" w:hint="eastAsia"/>
          <w:szCs w:val="21"/>
        </w:rPr>
        <w:t>技能</w:t>
      </w:r>
      <w:r w:rsidRPr="007935C9">
        <w:rPr>
          <w:rFonts w:ascii="仿宋" w:eastAsia="仿宋" w:hAnsi="仿宋" w:hint="eastAsia"/>
          <w:szCs w:val="21"/>
        </w:rPr>
        <w:t>，还要掌握与本学科相邻及相关学科的知识，在独立从事科研工作中，具备综合、分析能力，在开展所从事研究方面的前沿研究工作中，具备创新和发展的能力。熟悉所从事研究方向的科学技术发展新动向。</w:t>
      </w:r>
    </w:p>
    <w:p w:rsidR="007935C9" w:rsidRPr="007935C9" w:rsidRDefault="007935C9" w:rsidP="00911863">
      <w:pPr>
        <w:ind w:firstLineChars="200" w:firstLine="420"/>
        <w:jc w:val="left"/>
        <w:rPr>
          <w:rFonts w:ascii="仿宋" w:eastAsia="仿宋" w:hAnsi="仿宋"/>
          <w:szCs w:val="21"/>
        </w:rPr>
      </w:pPr>
      <w:r w:rsidRPr="007935C9">
        <w:rPr>
          <w:rFonts w:ascii="仿宋" w:eastAsia="仿宋" w:hAnsi="仿宋" w:hint="eastAsia"/>
          <w:szCs w:val="21"/>
        </w:rPr>
        <w:t>掌握一至二门外语，能用英语熟练阅读专业书籍、文献，并能撰写并在国际会议上宣读科学论文。</w:t>
      </w:r>
    </w:p>
    <w:p w:rsidR="007935C9" w:rsidRPr="00096349" w:rsidRDefault="006C5CC5" w:rsidP="007935C9">
      <w:pPr>
        <w:jc w:val="left"/>
        <w:rPr>
          <w:rFonts w:ascii="仿宋" w:eastAsia="仿宋" w:hAnsi="仿宋"/>
          <w:b/>
          <w:szCs w:val="21"/>
        </w:rPr>
      </w:pPr>
      <w:r w:rsidRPr="00096349">
        <w:rPr>
          <w:rFonts w:ascii="仿宋" w:eastAsia="仿宋" w:hAnsi="仿宋" w:hint="eastAsia"/>
          <w:b/>
          <w:szCs w:val="21"/>
        </w:rPr>
        <w:t>三</w:t>
      </w:r>
      <w:r w:rsidR="007935C9" w:rsidRPr="00096349">
        <w:rPr>
          <w:rFonts w:ascii="仿宋" w:eastAsia="仿宋" w:hAnsi="仿宋"/>
          <w:b/>
          <w:szCs w:val="21"/>
        </w:rPr>
        <w:t>、</w:t>
      </w:r>
      <w:r w:rsidR="007935C9" w:rsidRPr="00096349">
        <w:rPr>
          <w:rFonts w:ascii="仿宋" w:eastAsia="仿宋" w:hAnsi="仿宋" w:hint="eastAsia"/>
          <w:b/>
          <w:szCs w:val="21"/>
        </w:rPr>
        <w:t>修业年限</w:t>
      </w:r>
    </w:p>
    <w:p w:rsidR="007935C9" w:rsidRDefault="007935C9" w:rsidP="007935C9">
      <w:pPr>
        <w:ind w:firstLineChars="200" w:firstLine="420"/>
        <w:rPr>
          <w:rFonts w:ascii="仿宋" w:eastAsia="仿宋" w:hAnsi="仿宋"/>
          <w:szCs w:val="21"/>
        </w:rPr>
      </w:pPr>
      <w:r>
        <w:rPr>
          <w:rFonts w:ascii="仿宋" w:eastAsia="仿宋" w:hAnsi="仿宋" w:hint="eastAsia"/>
          <w:szCs w:val="21"/>
        </w:rPr>
        <w:t>普通</w:t>
      </w:r>
      <w:r>
        <w:rPr>
          <w:rFonts w:ascii="仿宋" w:eastAsia="仿宋" w:hAnsi="仿宋"/>
          <w:szCs w:val="21"/>
        </w:rPr>
        <w:t>博士生基本</w:t>
      </w:r>
      <w:r>
        <w:rPr>
          <w:rFonts w:ascii="仿宋" w:eastAsia="仿宋" w:hAnsi="仿宋" w:hint="eastAsia"/>
          <w:szCs w:val="21"/>
        </w:rPr>
        <w:t>修业年限为</w:t>
      </w:r>
      <w:r>
        <w:rPr>
          <w:rFonts w:ascii="仿宋" w:eastAsia="仿宋" w:hAnsi="仿宋"/>
          <w:szCs w:val="21"/>
        </w:rPr>
        <w:t>四年，最长</w:t>
      </w:r>
      <w:r>
        <w:rPr>
          <w:rFonts w:ascii="仿宋" w:eastAsia="仿宋" w:hAnsi="仿宋" w:hint="eastAsia"/>
          <w:szCs w:val="21"/>
        </w:rPr>
        <w:t>修业年限为</w:t>
      </w:r>
      <w:r>
        <w:rPr>
          <w:rFonts w:ascii="仿宋" w:eastAsia="仿宋" w:hAnsi="仿宋"/>
          <w:szCs w:val="21"/>
        </w:rPr>
        <w:t>八年；</w:t>
      </w:r>
      <w:r>
        <w:rPr>
          <w:rFonts w:ascii="仿宋" w:eastAsia="仿宋" w:hAnsi="仿宋" w:hint="eastAsia"/>
          <w:szCs w:val="21"/>
        </w:rPr>
        <w:t>直博生</w:t>
      </w:r>
      <w:r>
        <w:rPr>
          <w:rFonts w:ascii="仿宋" w:eastAsia="仿宋" w:hAnsi="仿宋"/>
          <w:szCs w:val="21"/>
        </w:rPr>
        <w:t>基本</w:t>
      </w:r>
      <w:r>
        <w:rPr>
          <w:rFonts w:ascii="仿宋" w:eastAsia="仿宋" w:hAnsi="仿宋" w:hint="eastAsia"/>
          <w:szCs w:val="21"/>
        </w:rPr>
        <w:t>修业年限为</w:t>
      </w:r>
      <w:r>
        <w:rPr>
          <w:rFonts w:ascii="仿宋" w:eastAsia="仿宋" w:hAnsi="仿宋"/>
          <w:szCs w:val="21"/>
        </w:rPr>
        <w:t>五年，</w:t>
      </w:r>
      <w:r>
        <w:rPr>
          <w:rFonts w:ascii="仿宋" w:eastAsia="仿宋" w:hAnsi="仿宋"/>
          <w:szCs w:val="21"/>
        </w:rPr>
        <w:lastRenderedPageBreak/>
        <w:t>最长</w:t>
      </w:r>
      <w:r>
        <w:rPr>
          <w:rFonts w:ascii="仿宋" w:eastAsia="仿宋" w:hAnsi="仿宋" w:hint="eastAsia"/>
          <w:szCs w:val="21"/>
        </w:rPr>
        <w:t>修业年限为</w:t>
      </w:r>
      <w:r>
        <w:rPr>
          <w:rFonts w:ascii="仿宋" w:eastAsia="仿宋" w:hAnsi="仿宋"/>
          <w:szCs w:val="21"/>
        </w:rPr>
        <w:t>八年</w:t>
      </w:r>
      <w:r>
        <w:rPr>
          <w:rFonts w:ascii="仿宋" w:eastAsia="仿宋" w:hAnsi="仿宋" w:hint="eastAsia"/>
          <w:szCs w:val="21"/>
        </w:rPr>
        <w:t>。</w:t>
      </w:r>
    </w:p>
    <w:p w:rsidR="007935C9" w:rsidRPr="00096349" w:rsidRDefault="006C5CC5" w:rsidP="007935C9">
      <w:pPr>
        <w:jc w:val="left"/>
        <w:rPr>
          <w:rFonts w:ascii="仿宋" w:eastAsia="仿宋" w:hAnsi="仿宋"/>
          <w:b/>
          <w:szCs w:val="21"/>
        </w:rPr>
      </w:pPr>
      <w:r w:rsidRPr="00096349">
        <w:rPr>
          <w:rFonts w:ascii="仿宋" w:eastAsia="仿宋" w:hAnsi="仿宋" w:hint="eastAsia"/>
          <w:b/>
          <w:szCs w:val="21"/>
        </w:rPr>
        <w:t>四</w:t>
      </w:r>
      <w:r w:rsidR="007935C9" w:rsidRPr="00096349">
        <w:rPr>
          <w:rFonts w:ascii="仿宋" w:eastAsia="仿宋" w:hAnsi="仿宋"/>
          <w:b/>
          <w:szCs w:val="21"/>
        </w:rPr>
        <w:t>、培养方式</w:t>
      </w:r>
    </w:p>
    <w:p w:rsidR="00E9371C" w:rsidRDefault="007935C9" w:rsidP="007935C9">
      <w:pPr>
        <w:spacing w:line="320" w:lineRule="exact"/>
        <w:ind w:firstLine="420"/>
        <w:rPr>
          <w:rFonts w:ascii="仿宋" w:eastAsia="仿宋" w:hAnsi="仿宋"/>
          <w:szCs w:val="21"/>
        </w:rPr>
      </w:pPr>
      <w:r w:rsidRPr="00EF1EB1">
        <w:rPr>
          <w:rFonts w:ascii="仿宋" w:eastAsia="仿宋" w:hAnsi="仿宋" w:hint="eastAsia"/>
          <w:szCs w:val="21"/>
        </w:rPr>
        <w:t>着力塑造以“立德树人第一责任人”为核心的博士生导师教育文化观，强化博士生导师立德树人的责任感和使命感，引导博士生导师做好博士生求知的指导者、学术的引路人和品德的垂范者。</w:t>
      </w:r>
      <w:r w:rsidR="00E9371C">
        <w:rPr>
          <w:rFonts w:ascii="仿宋" w:eastAsia="仿宋" w:hAnsi="仿宋" w:hint="eastAsia"/>
          <w:szCs w:val="21"/>
        </w:rPr>
        <w:t>导师根据培养方案，结合研究生个人情况，确定每位研究生的培养目标，制定个性化培养计划，包括课程学习、研究方向和科研训练等。</w:t>
      </w:r>
    </w:p>
    <w:p w:rsidR="00E9371C" w:rsidRDefault="00E9371C" w:rsidP="00E9371C">
      <w:pPr>
        <w:spacing w:line="320" w:lineRule="exact"/>
        <w:ind w:firstLine="420"/>
        <w:rPr>
          <w:rFonts w:ascii="仿宋" w:eastAsia="仿宋" w:hAnsi="仿宋"/>
          <w:szCs w:val="21"/>
        </w:rPr>
      </w:pPr>
      <w:r w:rsidRPr="00E9371C">
        <w:rPr>
          <w:rFonts w:ascii="仿宋" w:eastAsia="仿宋" w:hAnsi="仿宋" w:hint="eastAsia"/>
          <w:szCs w:val="21"/>
        </w:rPr>
        <w:t>博士研究生入学的第一学期应完成大部分公共课和专业课的学习，并在导师的指导下着手准备毕业论文的选题和开题报告，应不迟于第三学期初进行博士生资格考核，经博士生指导小组评议通过后进入学位论文</w:t>
      </w:r>
      <w:r w:rsidR="00C03E74">
        <w:rPr>
          <w:rFonts w:ascii="仿宋" w:eastAsia="仿宋" w:hAnsi="仿宋" w:hint="eastAsia"/>
          <w:szCs w:val="21"/>
        </w:rPr>
        <w:t>工作</w:t>
      </w:r>
      <w:r w:rsidRPr="00E9371C">
        <w:rPr>
          <w:rFonts w:ascii="仿宋" w:eastAsia="仿宋" w:hAnsi="仿宋" w:hint="eastAsia"/>
          <w:szCs w:val="21"/>
        </w:rPr>
        <w:t>的实施阶段。</w:t>
      </w:r>
    </w:p>
    <w:p w:rsidR="007935C9" w:rsidRPr="00096349" w:rsidRDefault="00680444" w:rsidP="007935C9">
      <w:pPr>
        <w:jc w:val="left"/>
        <w:rPr>
          <w:rFonts w:ascii="仿宋" w:eastAsia="仿宋" w:hAnsi="仿宋"/>
          <w:b/>
          <w:szCs w:val="21"/>
        </w:rPr>
      </w:pPr>
      <w:r w:rsidRPr="00096349">
        <w:rPr>
          <w:rFonts w:ascii="仿宋" w:eastAsia="仿宋" w:hAnsi="仿宋" w:hint="eastAsia"/>
          <w:b/>
          <w:szCs w:val="21"/>
        </w:rPr>
        <w:t>五</w:t>
      </w:r>
      <w:r w:rsidR="007935C9" w:rsidRPr="00096349">
        <w:rPr>
          <w:rFonts w:ascii="仿宋" w:eastAsia="仿宋" w:hAnsi="仿宋" w:hint="eastAsia"/>
          <w:b/>
          <w:szCs w:val="21"/>
        </w:rPr>
        <w:t>、</w:t>
      </w:r>
      <w:r w:rsidR="007935C9" w:rsidRPr="00096349">
        <w:rPr>
          <w:rFonts w:ascii="仿宋" w:eastAsia="仿宋" w:hAnsi="仿宋"/>
          <w:b/>
          <w:szCs w:val="21"/>
        </w:rPr>
        <w:t>课程设置</w:t>
      </w:r>
    </w:p>
    <w:p w:rsidR="007935C9" w:rsidRDefault="007935C9" w:rsidP="007935C9">
      <w:pPr>
        <w:spacing w:line="320" w:lineRule="exact"/>
        <w:ind w:firstLine="420"/>
        <w:rPr>
          <w:rFonts w:ascii="仿宋" w:eastAsia="仿宋" w:hAnsi="仿宋"/>
          <w:szCs w:val="21"/>
        </w:rPr>
      </w:pPr>
      <w:r w:rsidRPr="00EF1EB1">
        <w:rPr>
          <w:rFonts w:ascii="仿宋" w:eastAsia="仿宋" w:hAnsi="仿宋" w:hint="eastAsia"/>
          <w:szCs w:val="21"/>
        </w:rPr>
        <w:t>普通博士研究生需修读公共外语、政治理论等学位课程及</w:t>
      </w:r>
      <w:r w:rsidRPr="00EF1EB1">
        <w:rPr>
          <w:rFonts w:ascii="仿宋" w:eastAsia="仿宋" w:hAnsi="仿宋"/>
          <w:szCs w:val="21"/>
        </w:rPr>
        <w:t>2-4门专业学位课程</w:t>
      </w:r>
      <w:r w:rsidR="00680444">
        <w:rPr>
          <w:rFonts w:ascii="仿宋" w:eastAsia="仿宋" w:hAnsi="仿宋" w:hint="eastAsia"/>
          <w:szCs w:val="21"/>
        </w:rPr>
        <w:t>。</w:t>
      </w:r>
      <w:r>
        <w:rPr>
          <w:rFonts w:ascii="仿宋" w:eastAsia="仿宋" w:hAnsi="仿宋" w:hint="eastAsia"/>
          <w:szCs w:val="21"/>
        </w:rPr>
        <w:t>直博生需修读普通博士研究生所修课程、</w:t>
      </w:r>
      <w:r>
        <w:rPr>
          <w:rFonts w:ascii="仿宋" w:eastAsia="仿宋" w:hAnsi="仿宋"/>
          <w:szCs w:val="21"/>
        </w:rPr>
        <w:t>硕士</w:t>
      </w:r>
      <w:r>
        <w:rPr>
          <w:rFonts w:ascii="仿宋" w:eastAsia="仿宋" w:hAnsi="仿宋" w:hint="eastAsia"/>
          <w:szCs w:val="21"/>
        </w:rPr>
        <w:t>研究生</w:t>
      </w:r>
      <w:r>
        <w:rPr>
          <w:rFonts w:ascii="仿宋" w:eastAsia="仿宋" w:hAnsi="仿宋"/>
          <w:szCs w:val="21"/>
        </w:rPr>
        <w:t>政治理论课程</w:t>
      </w:r>
      <w:r>
        <w:rPr>
          <w:rFonts w:ascii="仿宋" w:eastAsia="仿宋" w:hAnsi="仿宋" w:hint="eastAsia"/>
          <w:szCs w:val="21"/>
        </w:rPr>
        <w:t>及不低于19个学分的硕士研究生B、C、D类课程，另可根据科研需要选修跨二级或一级学科硕士研究生课程。</w:t>
      </w:r>
    </w:p>
    <w:p w:rsidR="006F4277" w:rsidRDefault="00114386" w:rsidP="006F4277">
      <w:r w:rsidRPr="00FC1E91">
        <w:rPr>
          <w:noProof/>
        </w:rPr>
        <w:drawing>
          <wp:inline distT="0" distB="0" distL="0" distR="0" wp14:anchorId="4F8D7EDE" wp14:editId="0248FAD2">
            <wp:extent cx="5274310" cy="553910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539105"/>
                    </a:xfrm>
                    <a:prstGeom prst="rect">
                      <a:avLst/>
                    </a:prstGeom>
                    <a:noFill/>
                    <a:ln>
                      <a:noFill/>
                    </a:ln>
                  </pic:spPr>
                </pic:pic>
              </a:graphicData>
            </a:graphic>
          </wp:inline>
        </w:drawing>
      </w:r>
    </w:p>
    <w:p w:rsidR="007935C9" w:rsidRPr="00EC5A4B" w:rsidRDefault="00096349" w:rsidP="00E9371C">
      <w:pPr>
        <w:jc w:val="left"/>
        <w:rPr>
          <w:rFonts w:ascii="仿宋" w:eastAsia="仿宋" w:hAnsi="仿宋"/>
          <w:b/>
          <w:szCs w:val="21"/>
        </w:rPr>
      </w:pPr>
      <w:r w:rsidRPr="00EC5A4B">
        <w:rPr>
          <w:rFonts w:ascii="仿宋" w:eastAsia="仿宋" w:hAnsi="仿宋" w:hint="eastAsia"/>
          <w:b/>
          <w:szCs w:val="21"/>
        </w:rPr>
        <w:t>六</w:t>
      </w:r>
      <w:r w:rsidR="00E9371C" w:rsidRPr="00EC5A4B">
        <w:rPr>
          <w:rFonts w:ascii="仿宋" w:eastAsia="仿宋" w:hAnsi="仿宋" w:hint="eastAsia"/>
          <w:b/>
          <w:szCs w:val="21"/>
        </w:rPr>
        <w:t>、</w:t>
      </w:r>
      <w:r w:rsidR="007935C9" w:rsidRPr="00EC5A4B">
        <w:rPr>
          <w:rFonts w:ascii="仿宋" w:eastAsia="仿宋" w:hAnsi="仿宋"/>
          <w:b/>
          <w:szCs w:val="21"/>
        </w:rPr>
        <w:t>质量监控</w:t>
      </w:r>
      <w:r w:rsidR="007935C9" w:rsidRPr="00EC5A4B">
        <w:rPr>
          <w:rFonts w:ascii="仿宋" w:eastAsia="仿宋" w:hAnsi="仿宋" w:hint="eastAsia"/>
          <w:b/>
          <w:szCs w:val="21"/>
        </w:rPr>
        <w:t>与学业流程</w:t>
      </w:r>
    </w:p>
    <w:p w:rsidR="004B22B8" w:rsidRDefault="004B22B8" w:rsidP="004B22B8">
      <w:pPr>
        <w:ind w:firstLine="420"/>
        <w:jc w:val="left"/>
        <w:rPr>
          <w:rFonts w:ascii="仿宋" w:eastAsia="仿宋" w:hAnsi="仿宋"/>
          <w:szCs w:val="21"/>
        </w:rPr>
      </w:pPr>
      <w:r w:rsidRPr="006F4277">
        <w:rPr>
          <w:rFonts w:ascii="仿宋" w:eastAsia="仿宋" w:hAnsi="仿宋" w:hint="eastAsia"/>
          <w:szCs w:val="21"/>
        </w:rPr>
        <w:t>博士研究生严格执行</w:t>
      </w:r>
      <w:r>
        <w:rPr>
          <w:rFonts w:ascii="仿宋" w:eastAsia="仿宋" w:hAnsi="仿宋" w:hint="eastAsia"/>
          <w:szCs w:val="21"/>
        </w:rPr>
        <w:t>“博士生资格考核”和“</w:t>
      </w:r>
      <w:r w:rsidRPr="006F4277">
        <w:rPr>
          <w:rFonts w:ascii="仿宋" w:eastAsia="仿宋" w:hAnsi="仿宋" w:hint="eastAsia"/>
          <w:szCs w:val="21"/>
        </w:rPr>
        <w:t>学位论文开题</w:t>
      </w:r>
      <w:r>
        <w:rPr>
          <w:rFonts w:ascii="仿宋" w:eastAsia="仿宋" w:hAnsi="仿宋" w:hint="eastAsia"/>
          <w:szCs w:val="21"/>
        </w:rPr>
        <w:t>”</w:t>
      </w:r>
      <w:r w:rsidRPr="006F4277">
        <w:rPr>
          <w:rFonts w:ascii="仿宋" w:eastAsia="仿宋" w:hAnsi="仿宋" w:hint="eastAsia"/>
          <w:szCs w:val="21"/>
        </w:rPr>
        <w:t>审核制度</w:t>
      </w:r>
      <w:r w:rsidR="00544703">
        <w:rPr>
          <w:rFonts w:ascii="仿宋" w:eastAsia="仿宋" w:hAnsi="仿宋" w:hint="eastAsia"/>
          <w:szCs w:val="21"/>
        </w:rPr>
        <w:t>。</w:t>
      </w:r>
      <w:r w:rsidR="0077717B">
        <w:rPr>
          <w:rFonts w:ascii="仿宋" w:eastAsia="仿宋" w:hAnsi="仿宋" w:hint="eastAsia"/>
          <w:szCs w:val="21"/>
        </w:rPr>
        <w:t>为保证学位论文质量，在申请正式论文答辩之前，须经过“博士生论文文本预审”</w:t>
      </w:r>
      <w:r>
        <w:rPr>
          <w:rFonts w:ascii="仿宋" w:eastAsia="仿宋" w:hAnsi="仿宋" w:hint="eastAsia"/>
          <w:szCs w:val="21"/>
        </w:rPr>
        <w:t>。</w:t>
      </w:r>
    </w:p>
    <w:p w:rsidR="004B22B8" w:rsidRPr="00EC5A4B" w:rsidRDefault="004B22B8" w:rsidP="004B22B8">
      <w:pPr>
        <w:spacing w:line="380" w:lineRule="exact"/>
        <w:rPr>
          <w:rFonts w:ascii="仿宋" w:eastAsia="仿宋" w:hAnsi="仿宋"/>
          <w:b/>
          <w:szCs w:val="21"/>
        </w:rPr>
      </w:pPr>
      <w:r w:rsidRPr="00EC5A4B">
        <w:rPr>
          <w:rFonts w:ascii="仿宋" w:eastAsia="仿宋" w:hAnsi="仿宋" w:hint="eastAsia"/>
          <w:b/>
          <w:szCs w:val="21"/>
        </w:rPr>
        <w:lastRenderedPageBreak/>
        <w:t>1、博士生资格考核</w:t>
      </w:r>
    </w:p>
    <w:p w:rsidR="004B22B8" w:rsidRDefault="004B22B8" w:rsidP="004B22B8">
      <w:pPr>
        <w:spacing w:line="380" w:lineRule="exact"/>
        <w:ind w:firstLineChars="200" w:firstLine="420"/>
        <w:rPr>
          <w:rFonts w:ascii="仿宋" w:eastAsia="仿宋" w:hAnsi="仿宋"/>
          <w:szCs w:val="21"/>
        </w:rPr>
      </w:pPr>
      <w:r>
        <w:rPr>
          <w:rFonts w:ascii="仿宋" w:eastAsia="仿宋" w:hAnsi="仿宋" w:hint="eastAsia"/>
          <w:szCs w:val="21"/>
        </w:rPr>
        <w:t>“博士生资格考核”安排在博士二年级第一学期。按照研究生院的相关规定，“</w:t>
      </w:r>
      <w:r w:rsidRPr="004B22B8">
        <w:rPr>
          <w:rFonts w:ascii="仿宋" w:eastAsia="仿宋" w:hAnsi="仿宋" w:hint="eastAsia"/>
          <w:szCs w:val="21"/>
        </w:rPr>
        <w:t>博士资格考核</w:t>
      </w:r>
      <w:r>
        <w:rPr>
          <w:rFonts w:ascii="仿宋" w:eastAsia="仿宋" w:hAnsi="仿宋" w:hint="eastAsia"/>
          <w:szCs w:val="21"/>
        </w:rPr>
        <w:t>”</w:t>
      </w:r>
      <w:r w:rsidRPr="004B22B8">
        <w:rPr>
          <w:rFonts w:ascii="仿宋" w:eastAsia="仿宋" w:hAnsi="仿宋" w:hint="eastAsia"/>
          <w:szCs w:val="21"/>
        </w:rPr>
        <w:t>作有限时间（最多6年）内有限考核次数（最多3次）的规定。对于在院系考核方案规定的有限考核次数内未能通过博士资格考核者，将劝其终止博士学业；对于6年内未能通过博士资格考核者，学校将视之为自动终止学业，</w:t>
      </w:r>
      <w:r w:rsidR="00363ABB" w:rsidRPr="00363ABB">
        <w:rPr>
          <w:rFonts w:ascii="仿宋" w:eastAsia="仿宋" w:hAnsi="仿宋" w:hint="eastAsia"/>
          <w:szCs w:val="21"/>
        </w:rPr>
        <w:t>予以退学</w:t>
      </w:r>
      <w:r w:rsidRPr="004B22B8">
        <w:rPr>
          <w:rFonts w:ascii="仿宋" w:eastAsia="仿宋" w:hAnsi="仿宋" w:hint="eastAsia"/>
          <w:szCs w:val="21"/>
        </w:rPr>
        <w:t>作肄业处理。有关学籍终止问题，研究生院将报送学校学位评定委员会审定。</w:t>
      </w:r>
      <w:bookmarkStart w:id="0" w:name="_GoBack"/>
      <w:bookmarkEnd w:id="0"/>
    </w:p>
    <w:p w:rsidR="004B22B8" w:rsidRPr="004B22B8" w:rsidRDefault="004B22B8" w:rsidP="004B22B8">
      <w:pPr>
        <w:spacing w:line="380" w:lineRule="exact"/>
        <w:ind w:firstLineChars="200" w:firstLine="420"/>
        <w:rPr>
          <w:rFonts w:ascii="仿宋" w:eastAsia="仿宋" w:hAnsi="仿宋"/>
          <w:szCs w:val="21"/>
        </w:rPr>
      </w:pPr>
      <w:r>
        <w:rPr>
          <w:rFonts w:ascii="仿宋" w:eastAsia="仿宋" w:hAnsi="仿宋" w:hint="eastAsia"/>
          <w:szCs w:val="21"/>
        </w:rPr>
        <w:t>“博士生资格考核”</w:t>
      </w:r>
      <w:r w:rsidRPr="004B22B8">
        <w:rPr>
          <w:rFonts w:ascii="仿宋" w:eastAsia="仿宋" w:hAnsi="仿宋" w:hint="eastAsia"/>
          <w:szCs w:val="21"/>
        </w:rPr>
        <w:t>结果分为优秀、通过、暂缓通过和劝退四类。每次考核优秀率不</w:t>
      </w:r>
    </w:p>
    <w:p w:rsidR="004B22B8" w:rsidRPr="004B22B8" w:rsidRDefault="004B22B8" w:rsidP="004B22B8">
      <w:pPr>
        <w:spacing w:line="380" w:lineRule="exact"/>
        <w:rPr>
          <w:rFonts w:ascii="仿宋" w:eastAsia="仿宋" w:hAnsi="仿宋"/>
          <w:szCs w:val="21"/>
        </w:rPr>
      </w:pPr>
      <w:r w:rsidRPr="004B22B8">
        <w:rPr>
          <w:rFonts w:ascii="仿宋" w:eastAsia="仿宋" w:hAnsi="仿宋" w:hint="eastAsia"/>
          <w:szCs w:val="21"/>
        </w:rPr>
        <w:t>高于15%，暂缓通过率不低于15%（原则上），劝退不设比例。所有博士研究生必须参加本年级的第一次资格考核，如确因特殊原因无法参加的博士生作“暂缓通过”处理。</w:t>
      </w:r>
      <w:r w:rsidRPr="004B22B8">
        <w:rPr>
          <w:rFonts w:ascii="仿宋" w:eastAsia="仿宋" w:hAnsi="仿宋"/>
          <w:szCs w:val="21"/>
        </w:rPr>
        <w:t xml:space="preserve"> </w:t>
      </w:r>
    </w:p>
    <w:p w:rsidR="007F0146" w:rsidRPr="004B22B8" w:rsidRDefault="004B22B8" w:rsidP="004B22B8">
      <w:pPr>
        <w:ind w:firstLine="420"/>
        <w:jc w:val="left"/>
        <w:rPr>
          <w:rFonts w:ascii="仿宋" w:eastAsia="仿宋" w:hAnsi="仿宋"/>
          <w:szCs w:val="21"/>
        </w:rPr>
      </w:pPr>
      <w:r>
        <w:rPr>
          <w:rFonts w:ascii="仿宋" w:eastAsia="仿宋" w:hAnsi="仿宋" w:hint="eastAsia"/>
          <w:szCs w:val="21"/>
        </w:rPr>
        <w:t>“博士生资格考核”由学院统一组织，</w:t>
      </w:r>
      <w:r w:rsidR="009C755F" w:rsidRPr="004B22B8">
        <w:rPr>
          <w:rFonts w:ascii="仿宋" w:eastAsia="仿宋" w:hAnsi="仿宋" w:hint="eastAsia"/>
          <w:szCs w:val="21"/>
        </w:rPr>
        <w:t>主要考核博士生的文献阅读及学位论文的准备情况</w:t>
      </w:r>
      <w:r>
        <w:rPr>
          <w:rFonts w:ascii="仿宋" w:eastAsia="仿宋" w:hAnsi="仿宋" w:hint="eastAsia"/>
          <w:szCs w:val="21"/>
        </w:rPr>
        <w:t>。</w:t>
      </w:r>
    </w:p>
    <w:p w:rsidR="006F4277" w:rsidRPr="00EC5A4B" w:rsidRDefault="004B22B8" w:rsidP="006F4277">
      <w:pPr>
        <w:rPr>
          <w:rFonts w:ascii="仿宋" w:eastAsia="仿宋" w:hAnsi="仿宋"/>
          <w:b/>
          <w:szCs w:val="21"/>
        </w:rPr>
      </w:pPr>
      <w:r w:rsidRPr="00EC5A4B">
        <w:rPr>
          <w:rFonts w:ascii="仿宋" w:eastAsia="仿宋" w:hAnsi="仿宋" w:hint="eastAsia"/>
          <w:b/>
          <w:szCs w:val="21"/>
        </w:rPr>
        <w:t>2、</w:t>
      </w:r>
      <w:r w:rsidR="006F4277" w:rsidRPr="00EC5A4B">
        <w:rPr>
          <w:rFonts w:ascii="仿宋" w:eastAsia="仿宋" w:hAnsi="仿宋" w:hint="eastAsia"/>
          <w:b/>
          <w:szCs w:val="21"/>
        </w:rPr>
        <w:t>博士</w:t>
      </w:r>
      <w:r w:rsidRPr="00EC5A4B">
        <w:rPr>
          <w:rFonts w:ascii="仿宋" w:eastAsia="仿宋" w:hAnsi="仿宋" w:hint="eastAsia"/>
          <w:b/>
          <w:szCs w:val="21"/>
        </w:rPr>
        <w:t>生</w:t>
      </w:r>
      <w:r w:rsidR="006F4277" w:rsidRPr="00EC5A4B">
        <w:rPr>
          <w:rFonts w:ascii="仿宋" w:eastAsia="仿宋" w:hAnsi="仿宋" w:hint="eastAsia"/>
          <w:b/>
          <w:szCs w:val="21"/>
        </w:rPr>
        <w:t>论文开题</w:t>
      </w:r>
    </w:p>
    <w:p w:rsidR="006F4277" w:rsidRPr="006F4277" w:rsidRDefault="006F4277" w:rsidP="006F4277">
      <w:pPr>
        <w:ind w:firstLineChars="200" w:firstLine="420"/>
        <w:rPr>
          <w:rFonts w:ascii="仿宋" w:eastAsia="仿宋" w:hAnsi="仿宋"/>
          <w:szCs w:val="21"/>
        </w:rPr>
      </w:pPr>
      <w:r w:rsidRPr="006F4277">
        <w:rPr>
          <w:rFonts w:ascii="仿宋" w:eastAsia="仿宋" w:hAnsi="仿宋" w:hint="eastAsia"/>
          <w:szCs w:val="21"/>
        </w:rPr>
        <w:t>博士研究生严格执行学位论文开题审核制度，每名博士研究生必须通过“博士生资格考核”方能进行论文开题审核阶段。开题至少1年后，学生方可提交学位论文答辩申请。</w:t>
      </w:r>
    </w:p>
    <w:p w:rsidR="006F4277" w:rsidRPr="00C878DC" w:rsidRDefault="004B22B8" w:rsidP="00C878DC">
      <w:pPr>
        <w:ind w:firstLineChars="150" w:firstLine="315"/>
        <w:rPr>
          <w:rFonts w:ascii="仿宋" w:eastAsia="仿宋" w:hAnsi="仿宋"/>
          <w:szCs w:val="21"/>
        </w:rPr>
      </w:pPr>
      <w:r>
        <w:rPr>
          <w:rFonts w:ascii="仿宋" w:eastAsia="仿宋" w:hAnsi="仿宋" w:hint="eastAsia"/>
          <w:szCs w:val="21"/>
        </w:rPr>
        <w:t>（1）</w:t>
      </w:r>
      <w:r w:rsidR="006F4277" w:rsidRPr="00C878DC">
        <w:rPr>
          <w:rFonts w:ascii="仿宋" w:eastAsia="仿宋" w:hAnsi="仿宋" w:hint="eastAsia"/>
          <w:szCs w:val="21"/>
        </w:rPr>
        <w:t>开题报告组织：博士生的开题工作由各二级专业所在教研室负责，开题须提前公示；</w:t>
      </w:r>
    </w:p>
    <w:p w:rsidR="006F4277" w:rsidRPr="006F4277" w:rsidRDefault="004B22B8" w:rsidP="00C878DC">
      <w:pPr>
        <w:pStyle w:val="ac"/>
        <w:ind w:leftChars="50" w:left="105" w:firstLineChars="100" w:firstLine="210"/>
        <w:rPr>
          <w:rFonts w:ascii="仿宋" w:eastAsia="仿宋" w:hAnsi="仿宋" w:cs="Times New Roman"/>
          <w:szCs w:val="21"/>
        </w:rPr>
      </w:pPr>
      <w:r>
        <w:rPr>
          <w:rFonts w:ascii="仿宋" w:eastAsia="仿宋" w:hAnsi="仿宋" w:cs="Times New Roman" w:hint="eastAsia"/>
          <w:szCs w:val="21"/>
        </w:rPr>
        <w:t>（2）</w:t>
      </w:r>
      <w:r w:rsidR="006F4277" w:rsidRPr="006F4277">
        <w:rPr>
          <w:rFonts w:ascii="仿宋" w:eastAsia="仿宋" w:hAnsi="仿宋" w:cs="Times New Roman" w:hint="eastAsia"/>
          <w:szCs w:val="21"/>
        </w:rPr>
        <w:t>开题报告考核内容：主要考察博士生的论文选题、研究方案、研究基础、研究技能训练和研究能力等。</w:t>
      </w:r>
    </w:p>
    <w:p w:rsidR="006F4277" w:rsidRPr="00C878DC" w:rsidRDefault="004B22B8" w:rsidP="004B22B8">
      <w:pPr>
        <w:pStyle w:val="ac"/>
        <w:ind w:firstLineChars="135" w:firstLine="283"/>
        <w:rPr>
          <w:rFonts w:ascii="仿宋" w:eastAsia="仿宋" w:hAnsi="仿宋"/>
          <w:szCs w:val="21"/>
        </w:rPr>
      </w:pPr>
      <w:r>
        <w:rPr>
          <w:rFonts w:ascii="仿宋" w:eastAsia="仿宋" w:hAnsi="仿宋" w:cs="Times New Roman" w:hint="eastAsia"/>
          <w:szCs w:val="21"/>
        </w:rPr>
        <w:t>（3）</w:t>
      </w:r>
      <w:r w:rsidR="006F4277" w:rsidRPr="006F4277">
        <w:rPr>
          <w:rFonts w:ascii="仿宋" w:eastAsia="仿宋" w:hAnsi="仿宋" w:cs="Times New Roman" w:hint="eastAsia"/>
          <w:szCs w:val="21"/>
        </w:rPr>
        <w:t>考核办法：由各个专业根据学生人数，分成若干开题报告考核小组，考核小组至少由</w:t>
      </w:r>
      <w:r w:rsidR="006F4277" w:rsidRPr="00C878DC">
        <w:rPr>
          <w:rFonts w:ascii="仿宋" w:eastAsia="仿宋" w:hAnsi="仿宋" w:hint="eastAsia"/>
          <w:szCs w:val="21"/>
        </w:rPr>
        <w:t>5名教授或副教授组成。博士研究生必须充分阐述文献调研情况、选题依据、研究计划、研究方案、预期目标和成果等。考核小组依据博士研究生开题报告和答辩情况予以评价，给出“可以开题”或“修改后开题”的结论。对于“修改后开题”的博士生，三个月之后再进行一次开题，若通过，则可以进入论文阶段。</w:t>
      </w:r>
    </w:p>
    <w:p w:rsidR="006F4277" w:rsidRPr="00EC5A4B" w:rsidRDefault="006F4277" w:rsidP="004B22B8">
      <w:pPr>
        <w:pStyle w:val="ac"/>
        <w:numPr>
          <w:ilvl w:val="0"/>
          <w:numId w:val="16"/>
        </w:numPr>
        <w:ind w:firstLineChars="0"/>
        <w:rPr>
          <w:rFonts w:ascii="仿宋" w:eastAsia="仿宋" w:hAnsi="仿宋"/>
          <w:b/>
          <w:szCs w:val="21"/>
        </w:rPr>
      </w:pPr>
      <w:r w:rsidRPr="00EC5A4B">
        <w:rPr>
          <w:rFonts w:ascii="仿宋" w:eastAsia="仿宋" w:hAnsi="仿宋" w:hint="eastAsia"/>
          <w:b/>
          <w:szCs w:val="21"/>
        </w:rPr>
        <w:t>博士</w:t>
      </w:r>
      <w:r w:rsidR="004B22B8" w:rsidRPr="00EC5A4B">
        <w:rPr>
          <w:rFonts w:ascii="仿宋" w:eastAsia="仿宋" w:hAnsi="仿宋" w:hint="eastAsia"/>
          <w:b/>
          <w:szCs w:val="21"/>
        </w:rPr>
        <w:t>生</w:t>
      </w:r>
      <w:r w:rsidRPr="00EC5A4B">
        <w:rPr>
          <w:rFonts w:ascii="仿宋" w:eastAsia="仿宋" w:hAnsi="仿宋" w:hint="eastAsia"/>
          <w:b/>
          <w:szCs w:val="21"/>
        </w:rPr>
        <w:t>论文文本预审</w:t>
      </w:r>
    </w:p>
    <w:p w:rsidR="006F4277" w:rsidRPr="00C878DC" w:rsidRDefault="004B22B8" w:rsidP="004B22B8">
      <w:pPr>
        <w:pStyle w:val="ac"/>
        <w:ind w:firstLineChars="100" w:firstLine="210"/>
        <w:rPr>
          <w:rFonts w:ascii="仿宋" w:eastAsia="仿宋" w:hAnsi="仿宋"/>
          <w:szCs w:val="21"/>
        </w:rPr>
      </w:pPr>
      <w:r>
        <w:rPr>
          <w:rFonts w:ascii="仿宋" w:eastAsia="仿宋" w:hAnsi="仿宋" w:hint="eastAsia"/>
          <w:szCs w:val="21"/>
        </w:rPr>
        <w:t>（1）</w:t>
      </w:r>
      <w:r w:rsidR="006F4277" w:rsidRPr="00C878DC">
        <w:rPr>
          <w:rFonts w:ascii="仿宋" w:eastAsia="仿宋" w:hAnsi="仿宋" w:hint="eastAsia"/>
          <w:szCs w:val="21"/>
        </w:rPr>
        <w:t>文本预审由学院组织。每年四次，在提交博士论文答辩申请2周前，学院组织开展学位论文文本集中预审核。</w:t>
      </w:r>
    </w:p>
    <w:p w:rsidR="006F4277" w:rsidRPr="00C878DC" w:rsidRDefault="004B22B8" w:rsidP="00C878DC">
      <w:pPr>
        <w:ind w:firstLineChars="100" w:firstLine="210"/>
        <w:rPr>
          <w:rFonts w:ascii="仿宋" w:eastAsia="仿宋" w:hAnsi="仿宋"/>
          <w:szCs w:val="21"/>
        </w:rPr>
      </w:pPr>
      <w:r>
        <w:rPr>
          <w:rFonts w:ascii="仿宋" w:eastAsia="仿宋" w:hAnsi="仿宋" w:hint="eastAsia"/>
          <w:szCs w:val="21"/>
        </w:rPr>
        <w:t>（2）</w:t>
      </w:r>
      <w:r w:rsidR="006F4277" w:rsidRPr="00C878DC">
        <w:rPr>
          <w:rFonts w:ascii="仿宋" w:eastAsia="仿宋" w:hAnsi="仿宋" w:hint="eastAsia"/>
          <w:szCs w:val="21"/>
        </w:rPr>
        <w:t>论文需经导师认真审查和修改，最终签字同意后，再提交进入学院预审环节。</w:t>
      </w:r>
    </w:p>
    <w:p w:rsidR="006F4277" w:rsidRPr="00C878DC" w:rsidRDefault="004B22B8" w:rsidP="00C878DC">
      <w:pPr>
        <w:ind w:firstLineChars="100" w:firstLine="210"/>
        <w:rPr>
          <w:rFonts w:ascii="仿宋" w:eastAsia="仿宋" w:hAnsi="仿宋"/>
          <w:szCs w:val="21"/>
        </w:rPr>
      </w:pPr>
      <w:r>
        <w:rPr>
          <w:rFonts w:ascii="仿宋" w:eastAsia="仿宋" w:hAnsi="仿宋" w:hint="eastAsia"/>
          <w:szCs w:val="21"/>
        </w:rPr>
        <w:t>（3）</w:t>
      </w:r>
      <w:r w:rsidR="006F4277" w:rsidRPr="00C878DC">
        <w:rPr>
          <w:rFonts w:ascii="仿宋" w:eastAsia="仿宋" w:hAnsi="仿宋" w:hint="eastAsia"/>
          <w:szCs w:val="21"/>
        </w:rPr>
        <w:t xml:space="preserve">评审专家组由3位及以上教授、博导组成。预审通过的博士学位论文方可申请论文答辩。如论文预审不通过，学生须在导师的指导下根据预审意见认真回复和修改论文文本，经评审专家复审合格后论文可进入下一个环节。                                                                       </w:t>
      </w:r>
    </w:p>
    <w:p w:rsidR="006F4277" w:rsidRPr="00C878DC" w:rsidRDefault="004B22B8" w:rsidP="00C878DC">
      <w:pPr>
        <w:ind w:firstLineChars="100" w:firstLine="210"/>
        <w:rPr>
          <w:rFonts w:ascii="仿宋" w:eastAsia="仿宋" w:hAnsi="仿宋"/>
          <w:szCs w:val="21"/>
        </w:rPr>
      </w:pPr>
      <w:r>
        <w:rPr>
          <w:rFonts w:ascii="仿宋" w:eastAsia="仿宋" w:hAnsi="仿宋" w:hint="eastAsia"/>
          <w:szCs w:val="21"/>
        </w:rPr>
        <w:t>（4）论文</w:t>
      </w:r>
      <w:r w:rsidR="006F4277" w:rsidRPr="00C878DC">
        <w:rPr>
          <w:rFonts w:ascii="仿宋" w:eastAsia="仿宋" w:hAnsi="仿宋" w:hint="eastAsia"/>
          <w:szCs w:val="21"/>
        </w:rPr>
        <w:t xml:space="preserve">查重：导师、学院充分利用“学位论文学术不端行为检测系统”，对研究生毕业论文进行自检自查。所有研究生提交的论文须进行论文查重工作，在保证论文格式的基础上，重复率须按要求&lt;3%，并将查重结果报告作为学位申请材料的一部分提交学院。导师是论文的查重和学术质量把关的第一责任人。        </w:t>
      </w:r>
    </w:p>
    <w:p w:rsidR="006F4277" w:rsidRPr="00EC5A4B" w:rsidRDefault="006F4277" w:rsidP="003A3BE3">
      <w:pPr>
        <w:pStyle w:val="ac"/>
        <w:numPr>
          <w:ilvl w:val="0"/>
          <w:numId w:val="16"/>
        </w:numPr>
        <w:ind w:firstLineChars="0"/>
        <w:rPr>
          <w:rFonts w:ascii="仿宋" w:eastAsia="仿宋" w:hAnsi="仿宋"/>
          <w:b/>
          <w:szCs w:val="21"/>
        </w:rPr>
      </w:pPr>
      <w:r w:rsidRPr="00EC5A4B">
        <w:rPr>
          <w:rFonts w:ascii="仿宋" w:eastAsia="仿宋" w:hAnsi="仿宋" w:hint="eastAsia"/>
          <w:b/>
          <w:szCs w:val="21"/>
        </w:rPr>
        <w:t>博士</w:t>
      </w:r>
      <w:r w:rsidR="003A3BE3" w:rsidRPr="00EC5A4B">
        <w:rPr>
          <w:rFonts w:ascii="仿宋" w:eastAsia="仿宋" w:hAnsi="仿宋" w:hint="eastAsia"/>
          <w:b/>
          <w:szCs w:val="21"/>
        </w:rPr>
        <w:t>生</w:t>
      </w:r>
      <w:r w:rsidRPr="00EC5A4B">
        <w:rPr>
          <w:rFonts w:ascii="仿宋" w:eastAsia="仿宋" w:hAnsi="仿宋" w:hint="eastAsia"/>
          <w:b/>
          <w:szCs w:val="21"/>
        </w:rPr>
        <w:t>论文预答辩</w:t>
      </w:r>
    </w:p>
    <w:p w:rsidR="006F4277" w:rsidRPr="00C878DC" w:rsidRDefault="00544703" w:rsidP="003A3BE3">
      <w:pPr>
        <w:pStyle w:val="ac"/>
        <w:rPr>
          <w:rFonts w:ascii="仿宋" w:eastAsia="仿宋" w:hAnsi="仿宋"/>
          <w:szCs w:val="21"/>
        </w:rPr>
      </w:pPr>
      <w:r>
        <w:rPr>
          <w:rFonts w:ascii="仿宋" w:eastAsia="仿宋" w:hAnsi="仿宋" w:hint="eastAsia"/>
          <w:szCs w:val="21"/>
        </w:rPr>
        <w:t>博士生论文</w:t>
      </w:r>
      <w:r w:rsidR="006F4277" w:rsidRPr="00C878DC">
        <w:rPr>
          <w:rFonts w:ascii="仿宋" w:eastAsia="仿宋" w:hAnsi="仿宋" w:hint="eastAsia"/>
          <w:szCs w:val="21"/>
        </w:rPr>
        <w:t>预答辩由导师组织。除导师外，学位论文预答辩至少有3位专家参加，且预答辩专家中至少有1人为院学位评定分委员会的委员或所在学科带头人或教研室主任；</w:t>
      </w:r>
    </w:p>
    <w:p w:rsidR="006F4277" w:rsidRPr="003A3BE3" w:rsidRDefault="003A3BE3" w:rsidP="003A3BE3">
      <w:pPr>
        <w:ind w:firstLineChars="100" w:firstLine="210"/>
        <w:rPr>
          <w:rFonts w:ascii="仿宋" w:eastAsia="仿宋" w:hAnsi="仿宋"/>
          <w:szCs w:val="21"/>
        </w:rPr>
      </w:pPr>
      <w:r>
        <w:rPr>
          <w:rFonts w:ascii="仿宋" w:eastAsia="仿宋" w:hAnsi="仿宋" w:hint="eastAsia"/>
          <w:szCs w:val="21"/>
        </w:rPr>
        <w:t>（1）</w:t>
      </w:r>
      <w:r w:rsidR="006F4277" w:rsidRPr="003A3BE3">
        <w:rPr>
          <w:rFonts w:ascii="仿宋" w:eastAsia="仿宋" w:hAnsi="仿宋" w:hint="eastAsia"/>
          <w:szCs w:val="21"/>
        </w:rPr>
        <w:t>预答辩安排在学生正式论文答辩的1</w:t>
      </w:r>
      <w:r w:rsidR="006F4277" w:rsidRPr="003A3BE3">
        <w:rPr>
          <w:rFonts w:ascii="仿宋" w:eastAsia="仿宋" w:hAnsi="仿宋"/>
          <w:szCs w:val="21"/>
        </w:rPr>
        <w:t>5</w:t>
      </w:r>
      <w:r w:rsidR="006F4277" w:rsidRPr="003A3BE3">
        <w:rPr>
          <w:rFonts w:ascii="仿宋" w:eastAsia="仿宋" w:hAnsi="仿宋" w:hint="eastAsia"/>
          <w:szCs w:val="21"/>
        </w:rPr>
        <w:t>天之前；</w:t>
      </w:r>
    </w:p>
    <w:p w:rsidR="006F4277" w:rsidRPr="003A3BE3" w:rsidRDefault="003A3BE3" w:rsidP="003A3BE3">
      <w:pPr>
        <w:pStyle w:val="ac"/>
        <w:ind w:left="210" w:firstLineChars="0" w:firstLine="0"/>
        <w:rPr>
          <w:rFonts w:ascii="仿宋" w:eastAsia="仿宋" w:hAnsi="仿宋"/>
          <w:szCs w:val="21"/>
        </w:rPr>
      </w:pPr>
      <w:r>
        <w:rPr>
          <w:rFonts w:ascii="仿宋" w:eastAsia="仿宋" w:hAnsi="仿宋" w:hint="eastAsia"/>
          <w:szCs w:val="21"/>
        </w:rPr>
        <w:t>（2）</w:t>
      </w:r>
      <w:r w:rsidR="006F4277" w:rsidRPr="003A3BE3">
        <w:rPr>
          <w:rFonts w:ascii="仿宋" w:eastAsia="仿宋" w:hAnsi="仿宋" w:hint="eastAsia"/>
          <w:szCs w:val="21"/>
        </w:rPr>
        <w:t>凭经导师签字的预答辩记录方可进入下一环节，领取博士论文答辩表决票。</w:t>
      </w:r>
    </w:p>
    <w:p w:rsidR="006F4277" w:rsidRPr="00EC5A4B" w:rsidRDefault="00544703" w:rsidP="006F4277">
      <w:pPr>
        <w:rPr>
          <w:rFonts w:ascii="仿宋" w:eastAsia="仿宋" w:hAnsi="仿宋"/>
          <w:b/>
          <w:szCs w:val="21"/>
        </w:rPr>
      </w:pPr>
      <w:r w:rsidRPr="00EC5A4B">
        <w:rPr>
          <w:rFonts w:ascii="仿宋" w:eastAsia="仿宋" w:hAnsi="仿宋" w:hint="eastAsia"/>
          <w:b/>
          <w:szCs w:val="21"/>
        </w:rPr>
        <w:t>5</w:t>
      </w:r>
      <w:r w:rsidR="00C878DC" w:rsidRPr="00EC5A4B">
        <w:rPr>
          <w:rFonts w:ascii="仿宋" w:eastAsia="仿宋" w:hAnsi="仿宋" w:hint="eastAsia"/>
          <w:b/>
          <w:szCs w:val="21"/>
        </w:rPr>
        <w:t>、</w:t>
      </w:r>
      <w:r w:rsidR="006F4277" w:rsidRPr="00EC5A4B">
        <w:rPr>
          <w:rFonts w:ascii="仿宋" w:eastAsia="仿宋" w:hAnsi="仿宋" w:hint="eastAsia"/>
          <w:b/>
          <w:szCs w:val="21"/>
        </w:rPr>
        <w:t>博士</w:t>
      </w:r>
      <w:r w:rsidR="0077717B" w:rsidRPr="00EC5A4B">
        <w:rPr>
          <w:rFonts w:ascii="仿宋" w:eastAsia="仿宋" w:hAnsi="仿宋" w:hint="eastAsia"/>
          <w:b/>
          <w:szCs w:val="21"/>
        </w:rPr>
        <w:t>生</w:t>
      </w:r>
      <w:r w:rsidR="006F4277" w:rsidRPr="00EC5A4B">
        <w:rPr>
          <w:rFonts w:ascii="仿宋" w:eastAsia="仿宋" w:hAnsi="仿宋" w:hint="eastAsia"/>
          <w:b/>
          <w:szCs w:val="21"/>
        </w:rPr>
        <w:t>论文送审</w:t>
      </w:r>
    </w:p>
    <w:p w:rsidR="006F4277" w:rsidRPr="006F4277" w:rsidRDefault="00544703" w:rsidP="006F4277">
      <w:pPr>
        <w:ind w:firstLineChars="200" w:firstLine="420"/>
        <w:rPr>
          <w:rFonts w:ascii="仿宋" w:eastAsia="仿宋" w:hAnsi="仿宋"/>
          <w:szCs w:val="21"/>
        </w:rPr>
      </w:pPr>
      <w:r>
        <w:rPr>
          <w:rFonts w:ascii="仿宋" w:eastAsia="仿宋" w:hAnsi="仿宋" w:hint="eastAsia"/>
          <w:szCs w:val="21"/>
        </w:rPr>
        <w:t>博士生</w:t>
      </w:r>
      <w:r w:rsidR="006F4277" w:rsidRPr="006F4277">
        <w:rPr>
          <w:rFonts w:ascii="仿宋" w:eastAsia="仿宋" w:hAnsi="仿宋" w:hint="eastAsia"/>
          <w:szCs w:val="21"/>
        </w:rPr>
        <w:t>论文送审由导师、教研室、学院联合组织。</w:t>
      </w:r>
    </w:p>
    <w:p w:rsidR="006F4277" w:rsidRPr="00C878DC" w:rsidRDefault="00544703" w:rsidP="00911863">
      <w:pPr>
        <w:ind w:leftChars="-67" w:left="-141" w:firstLineChars="100" w:firstLine="210"/>
        <w:rPr>
          <w:rFonts w:ascii="仿宋" w:eastAsia="仿宋" w:hAnsi="仿宋"/>
          <w:szCs w:val="21"/>
        </w:rPr>
      </w:pPr>
      <w:r>
        <w:rPr>
          <w:rFonts w:ascii="仿宋" w:eastAsia="仿宋" w:hAnsi="仿宋" w:hint="eastAsia"/>
          <w:szCs w:val="21"/>
        </w:rPr>
        <w:t>（1）</w:t>
      </w:r>
      <w:r w:rsidR="006F4277" w:rsidRPr="00C878DC">
        <w:rPr>
          <w:rFonts w:ascii="仿宋" w:eastAsia="仿宋" w:hAnsi="仿宋" w:hint="eastAsia"/>
          <w:szCs w:val="21"/>
        </w:rPr>
        <w:t>对于被抽检盲审抽中的博士学位论文，按照南京大学学位论文抽检盲审的有关规定：《南京大学博士学位论文抽检盲审暂行办法》（南研发〔2019〕3号）、《关于博士学位论文盲</w:t>
      </w:r>
      <w:r w:rsidR="006F4277" w:rsidRPr="00C878DC">
        <w:rPr>
          <w:rFonts w:ascii="仿宋" w:eastAsia="仿宋" w:hAnsi="仿宋" w:hint="eastAsia"/>
          <w:szCs w:val="21"/>
        </w:rPr>
        <w:lastRenderedPageBreak/>
        <w:t>审和组织答辩工作的实施细则》（南研发〔2019〕4号）等执行。</w:t>
      </w:r>
    </w:p>
    <w:p w:rsidR="006F4277" w:rsidRPr="00544703" w:rsidRDefault="00544703" w:rsidP="00544703">
      <w:pPr>
        <w:ind w:firstLineChars="100" w:firstLine="210"/>
        <w:rPr>
          <w:rFonts w:ascii="仿宋" w:eastAsia="仿宋" w:hAnsi="仿宋"/>
          <w:szCs w:val="21"/>
        </w:rPr>
      </w:pPr>
      <w:r>
        <w:rPr>
          <w:rFonts w:ascii="仿宋" w:eastAsia="仿宋" w:hAnsi="仿宋" w:hint="eastAsia"/>
          <w:szCs w:val="21"/>
        </w:rPr>
        <w:t>（2）</w:t>
      </w:r>
      <w:r w:rsidR="006F4277" w:rsidRPr="00544703">
        <w:rPr>
          <w:rFonts w:ascii="仿宋" w:eastAsia="仿宋" w:hAnsi="仿宋" w:hint="eastAsia"/>
          <w:szCs w:val="21"/>
        </w:rPr>
        <w:t>对于未被抽检盲审抽中的博士学位论文，应由5名与论文内容相关学科的教授或相当专业技术职务的专家进行评阅，其中博士生导师至少3人、校外专家至少2人。送审前，导师提供评阅人的候选名单，并向学院提交《论文评阅人、答辩委员会委员送审表》，经导师本人、所在教研室主任、学院审定合理性并签字同意后，方可安排送出评阅。</w:t>
      </w:r>
    </w:p>
    <w:p w:rsidR="006F4277" w:rsidRPr="00544703" w:rsidRDefault="00544703" w:rsidP="00544703">
      <w:pPr>
        <w:ind w:firstLineChars="100" w:firstLine="210"/>
        <w:rPr>
          <w:rFonts w:ascii="仿宋" w:eastAsia="仿宋" w:hAnsi="仿宋"/>
          <w:szCs w:val="21"/>
        </w:rPr>
      </w:pPr>
      <w:r>
        <w:rPr>
          <w:rFonts w:ascii="仿宋" w:eastAsia="仿宋" w:hAnsi="仿宋" w:hint="eastAsia"/>
          <w:szCs w:val="21"/>
        </w:rPr>
        <w:t>（3）</w:t>
      </w:r>
      <w:r w:rsidR="006F4277" w:rsidRPr="00544703">
        <w:rPr>
          <w:rFonts w:ascii="仿宋" w:eastAsia="仿宋" w:hAnsi="仿宋" w:hint="eastAsia"/>
          <w:szCs w:val="21"/>
        </w:rPr>
        <w:t>所有学位论文的送审均由答辩秘书完成，不得由答辩研究生本人经手。</w:t>
      </w:r>
    </w:p>
    <w:p w:rsidR="006F4277" w:rsidRPr="00C878DC" w:rsidRDefault="00544703" w:rsidP="00C878DC">
      <w:pPr>
        <w:ind w:firstLineChars="100" w:firstLine="210"/>
        <w:rPr>
          <w:rFonts w:ascii="仿宋" w:eastAsia="仿宋" w:hAnsi="仿宋"/>
          <w:szCs w:val="21"/>
        </w:rPr>
      </w:pPr>
      <w:r>
        <w:rPr>
          <w:rFonts w:ascii="仿宋" w:eastAsia="仿宋" w:hAnsi="仿宋" w:hint="eastAsia"/>
          <w:szCs w:val="21"/>
        </w:rPr>
        <w:t>（4）</w:t>
      </w:r>
      <w:r w:rsidR="006F4277" w:rsidRPr="00C878DC">
        <w:rPr>
          <w:rFonts w:ascii="仿宋" w:eastAsia="仿宋" w:hAnsi="仿宋" w:hint="eastAsia"/>
          <w:szCs w:val="21"/>
        </w:rPr>
        <w:t>论文得到“同意进行答辩”的评阅意见后，</w:t>
      </w:r>
      <w:r>
        <w:rPr>
          <w:rFonts w:ascii="仿宋" w:eastAsia="仿宋" w:hAnsi="仿宋" w:hint="eastAsia"/>
          <w:szCs w:val="21"/>
        </w:rPr>
        <w:t>博士生</w:t>
      </w:r>
      <w:r w:rsidR="006F4277" w:rsidRPr="00C878DC">
        <w:rPr>
          <w:rFonts w:ascii="仿宋" w:eastAsia="仿宋" w:hAnsi="仿宋" w:hint="eastAsia"/>
          <w:szCs w:val="21"/>
        </w:rPr>
        <w:t>应认真结合评阅意见做出相应的修改。</w:t>
      </w:r>
    </w:p>
    <w:p w:rsidR="006F4277" w:rsidRPr="00C878DC" w:rsidRDefault="00544703" w:rsidP="00544703">
      <w:pPr>
        <w:ind w:firstLineChars="100" w:firstLine="210"/>
        <w:rPr>
          <w:rFonts w:ascii="仿宋" w:eastAsia="仿宋" w:hAnsi="仿宋"/>
          <w:szCs w:val="21"/>
        </w:rPr>
      </w:pPr>
      <w:r>
        <w:rPr>
          <w:rFonts w:ascii="仿宋" w:eastAsia="仿宋" w:hAnsi="仿宋" w:hint="eastAsia"/>
          <w:szCs w:val="21"/>
        </w:rPr>
        <w:t>（5）</w:t>
      </w:r>
      <w:r w:rsidR="006F4277" w:rsidRPr="00C878DC">
        <w:rPr>
          <w:rFonts w:ascii="仿宋" w:eastAsia="仿宋" w:hAnsi="仿宋" w:hint="eastAsia"/>
          <w:szCs w:val="21"/>
        </w:rPr>
        <w:t>若评阅意见为“不同意进行答辩”，</w:t>
      </w:r>
      <w:r>
        <w:rPr>
          <w:rFonts w:ascii="仿宋" w:eastAsia="仿宋" w:hAnsi="仿宋" w:hint="eastAsia"/>
          <w:szCs w:val="21"/>
        </w:rPr>
        <w:t>博士生</w:t>
      </w:r>
      <w:r w:rsidR="006F4277" w:rsidRPr="00C878DC">
        <w:rPr>
          <w:rFonts w:ascii="仿宋" w:eastAsia="仿宋" w:hAnsi="仿宋" w:hint="eastAsia"/>
          <w:szCs w:val="21"/>
        </w:rPr>
        <w:t>应与导师充分交流，由导师负责督导学生修改论文后再送审。专家评阅意见作为学位申请材料一部分提交学院审核。</w:t>
      </w:r>
    </w:p>
    <w:p w:rsidR="007935C9" w:rsidRPr="00EC5A4B" w:rsidRDefault="00EC5A4B" w:rsidP="00544703">
      <w:pPr>
        <w:rPr>
          <w:rFonts w:ascii="仿宋" w:eastAsia="仿宋" w:hAnsi="仿宋"/>
          <w:b/>
          <w:szCs w:val="21"/>
        </w:rPr>
      </w:pPr>
      <w:r w:rsidRPr="00EC5A4B">
        <w:rPr>
          <w:rFonts w:ascii="仿宋" w:eastAsia="仿宋" w:hAnsi="仿宋" w:hint="eastAsia"/>
          <w:b/>
          <w:szCs w:val="21"/>
        </w:rPr>
        <w:t>七</w:t>
      </w:r>
      <w:r w:rsidR="007935C9" w:rsidRPr="00EC5A4B">
        <w:rPr>
          <w:rFonts w:ascii="仿宋" w:eastAsia="仿宋" w:hAnsi="仿宋" w:hint="eastAsia"/>
          <w:b/>
          <w:szCs w:val="21"/>
        </w:rPr>
        <w:t>、评价机制</w:t>
      </w:r>
    </w:p>
    <w:p w:rsidR="005C3838" w:rsidRPr="00544703" w:rsidRDefault="005C3838" w:rsidP="00544703">
      <w:pPr>
        <w:ind w:firstLineChars="200" w:firstLine="420"/>
        <w:rPr>
          <w:rFonts w:ascii="仿宋" w:eastAsia="仿宋" w:hAnsi="仿宋"/>
          <w:szCs w:val="21"/>
        </w:rPr>
      </w:pPr>
      <w:r w:rsidRPr="00544703">
        <w:rPr>
          <w:rFonts w:ascii="仿宋" w:eastAsia="仿宋" w:hAnsi="仿宋" w:hint="eastAsia"/>
          <w:szCs w:val="21"/>
        </w:rPr>
        <w:t>对博士研究生学位论文的成果评价，电子科学与工程学院将充分发挥导师和学院学位分委员会对质量的把关作用，强化成果的同行评议，实现定量评价与定性评价相结合，重点评价博士学位论文的学术价值和社会影响，博士学位论文成果的评价及质量标准对标科学前沿和国家需求的多种成果表现形式。对于博士学位授予采取如下的质量分类评价标准：</w:t>
      </w:r>
    </w:p>
    <w:p w:rsidR="005C3838" w:rsidRPr="00EC5A4B" w:rsidRDefault="00544703" w:rsidP="00544703">
      <w:pPr>
        <w:rPr>
          <w:rFonts w:ascii="仿宋" w:eastAsia="仿宋" w:hAnsi="仿宋"/>
          <w:b/>
          <w:szCs w:val="21"/>
        </w:rPr>
      </w:pPr>
      <w:r w:rsidRPr="00EC5A4B">
        <w:rPr>
          <w:rFonts w:ascii="仿宋" w:eastAsia="仿宋" w:hAnsi="仿宋" w:hint="eastAsia"/>
          <w:b/>
          <w:szCs w:val="21"/>
        </w:rPr>
        <w:t>1、</w:t>
      </w:r>
      <w:r w:rsidR="005C3838" w:rsidRPr="00EC5A4B">
        <w:rPr>
          <w:rFonts w:ascii="仿宋" w:eastAsia="仿宋" w:hAnsi="仿宋" w:hint="eastAsia"/>
          <w:b/>
          <w:szCs w:val="21"/>
        </w:rPr>
        <w:t>基础研究（对标科学前沿），同时满足以下条件：</w:t>
      </w:r>
    </w:p>
    <w:p w:rsidR="005C3838" w:rsidRPr="00544703" w:rsidRDefault="00544703" w:rsidP="00544703">
      <w:pPr>
        <w:ind w:firstLineChars="100" w:firstLine="210"/>
        <w:rPr>
          <w:rFonts w:ascii="仿宋" w:eastAsia="仿宋" w:hAnsi="仿宋"/>
          <w:szCs w:val="21"/>
        </w:rPr>
      </w:pPr>
      <w:r>
        <w:rPr>
          <w:rFonts w:ascii="仿宋" w:eastAsia="仿宋" w:hAnsi="仿宋" w:hint="eastAsia"/>
          <w:szCs w:val="21"/>
        </w:rPr>
        <w:t>（1）</w:t>
      </w:r>
      <w:r w:rsidR="005C3838" w:rsidRPr="00544703">
        <w:rPr>
          <w:rFonts w:ascii="仿宋" w:eastAsia="仿宋" w:hAnsi="仿宋" w:hint="eastAsia"/>
          <w:szCs w:val="21"/>
        </w:rPr>
        <w:t>鼓励发表高质量论文，包括发表在具有国际影响力的国内科技期刊、业界公认的国际顶级或重要科技期刊的论文，以及在国内外顶级学术会议上进行报告的论文（以下简称“三类高质量论文”）。学院学位分委员会负责制定所辖各学科的三类高质量论文的期刊、会议目录，并每两年进行修订和更新。博士研究生需以第一作者（南京大学为第一完成单位）的身份至少发表1篇与学位论文相关的高质量学术论文（以上述目录为准）；</w:t>
      </w:r>
    </w:p>
    <w:p w:rsidR="005C3838" w:rsidRPr="00544703" w:rsidRDefault="00544703" w:rsidP="00544703">
      <w:pPr>
        <w:ind w:firstLineChars="100" w:firstLine="210"/>
        <w:rPr>
          <w:rFonts w:ascii="仿宋" w:eastAsia="仿宋" w:hAnsi="仿宋"/>
          <w:szCs w:val="21"/>
        </w:rPr>
      </w:pPr>
      <w:r>
        <w:rPr>
          <w:rFonts w:ascii="仿宋" w:eastAsia="仿宋" w:hAnsi="仿宋" w:hint="eastAsia"/>
          <w:szCs w:val="21"/>
        </w:rPr>
        <w:t>（2）</w:t>
      </w:r>
      <w:r w:rsidR="005C3838" w:rsidRPr="00544703">
        <w:rPr>
          <w:rFonts w:ascii="仿宋" w:eastAsia="仿宋" w:hAnsi="仿宋" w:hint="eastAsia"/>
          <w:szCs w:val="21"/>
        </w:rPr>
        <w:t>完成学院学位分委员会认可的其他研究成果（至少一项），包括：第一作者发表的其他高水平论文、参加研究生创新大赛获得国家级奖励、与论文相关的授权发明专利（除本人指导老师外排名第一）等研究成果；</w:t>
      </w:r>
    </w:p>
    <w:p w:rsidR="005C3838" w:rsidRPr="00EC5A4B" w:rsidRDefault="007E5FFF" w:rsidP="007E5FFF">
      <w:pPr>
        <w:rPr>
          <w:rFonts w:ascii="仿宋" w:eastAsia="仿宋" w:hAnsi="仿宋"/>
          <w:b/>
          <w:szCs w:val="21"/>
        </w:rPr>
      </w:pPr>
      <w:r w:rsidRPr="00EC5A4B">
        <w:rPr>
          <w:rFonts w:ascii="仿宋" w:eastAsia="仿宋" w:hAnsi="仿宋" w:hint="eastAsia"/>
          <w:b/>
          <w:szCs w:val="21"/>
        </w:rPr>
        <w:t>2、</w:t>
      </w:r>
      <w:r w:rsidR="005C3838" w:rsidRPr="00EC5A4B">
        <w:rPr>
          <w:rFonts w:ascii="仿宋" w:eastAsia="仿宋" w:hAnsi="仿宋" w:hint="eastAsia"/>
          <w:b/>
          <w:szCs w:val="21"/>
        </w:rPr>
        <w:t>应用研究（对标国家需求），同时满足以下条件：</w:t>
      </w:r>
    </w:p>
    <w:p w:rsidR="005C3838" w:rsidRPr="00544703" w:rsidRDefault="007E5FFF" w:rsidP="00544703">
      <w:pPr>
        <w:ind w:firstLineChars="100" w:firstLine="210"/>
        <w:rPr>
          <w:rFonts w:ascii="仿宋" w:eastAsia="仿宋" w:hAnsi="仿宋"/>
          <w:szCs w:val="21"/>
        </w:rPr>
      </w:pPr>
      <w:r>
        <w:rPr>
          <w:rFonts w:ascii="仿宋" w:eastAsia="仿宋" w:hAnsi="仿宋" w:hint="eastAsia"/>
          <w:szCs w:val="21"/>
        </w:rPr>
        <w:t>（1）</w:t>
      </w:r>
      <w:r w:rsidR="005C3838" w:rsidRPr="00544703">
        <w:rPr>
          <w:rFonts w:ascii="仿宋" w:eastAsia="仿宋" w:hAnsi="仿宋" w:hint="eastAsia"/>
          <w:szCs w:val="21"/>
        </w:rPr>
        <w:t>须提前两年提出申请，并由学院学位分委员会审核批准；</w:t>
      </w:r>
    </w:p>
    <w:p w:rsidR="005C3838" w:rsidRPr="00544703" w:rsidRDefault="007E5FFF" w:rsidP="00544703">
      <w:pPr>
        <w:ind w:firstLineChars="100" w:firstLine="210"/>
        <w:rPr>
          <w:rFonts w:ascii="仿宋" w:eastAsia="仿宋" w:hAnsi="仿宋"/>
          <w:szCs w:val="21"/>
        </w:rPr>
      </w:pPr>
      <w:r>
        <w:rPr>
          <w:rFonts w:ascii="仿宋" w:eastAsia="仿宋" w:hAnsi="仿宋" w:hint="eastAsia"/>
          <w:szCs w:val="21"/>
        </w:rPr>
        <w:t>（2）</w:t>
      </w:r>
      <w:r w:rsidR="005C3838" w:rsidRPr="00544703">
        <w:rPr>
          <w:rFonts w:ascii="仿宋" w:eastAsia="仿宋" w:hAnsi="仿宋" w:hint="eastAsia"/>
          <w:szCs w:val="21"/>
        </w:rPr>
        <w:t>作为主要完成人参加国家或国防工程研究项目、行业领军企业委托项目（项目单项到账经费在200万元以上），在完成国家需求方面做出实质性贡献，导师需提供详细佐证材料并经学院学位分委员会的认可；</w:t>
      </w:r>
    </w:p>
    <w:p w:rsidR="005C3838" w:rsidRPr="00544703" w:rsidRDefault="007E5FFF" w:rsidP="00544703">
      <w:pPr>
        <w:ind w:firstLineChars="100" w:firstLine="210"/>
        <w:rPr>
          <w:rFonts w:ascii="仿宋" w:eastAsia="仿宋" w:hAnsi="仿宋"/>
          <w:szCs w:val="21"/>
        </w:rPr>
      </w:pPr>
      <w:r>
        <w:rPr>
          <w:rFonts w:ascii="仿宋" w:eastAsia="仿宋" w:hAnsi="仿宋" w:hint="eastAsia"/>
          <w:szCs w:val="21"/>
        </w:rPr>
        <w:t>（3）</w:t>
      </w:r>
      <w:r w:rsidR="005C3838" w:rsidRPr="00544703">
        <w:rPr>
          <w:rFonts w:ascii="仿宋" w:eastAsia="仿宋" w:hAnsi="仿宋" w:hint="eastAsia"/>
          <w:szCs w:val="21"/>
        </w:rPr>
        <w:t>完成学院学位分委员会认可的其他研究成果（至少一项），包括：第一作者发表高水平论文、与论文相关的授权发明专利（除本人指导老师外排名第一）、与论文相关的研究成果获得转让并为学校实现可观经济效益、完成通过鉴定的省部级以上的应用成果（在该项目申请书中除老师外排名前三）等。</w:t>
      </w:r>
    </w:p>
    <w:p w:rsidR="005C3838" w:rsidRDefault="005C3838" w:rsidP="00544703">
      <w:pPr>
        <w:ind w:firstLineChars="100" w:firstLine="210"/>
        <w:rPr>
          <w:rFonts w:ascii="仿宋" w:eastAsia="仿宋" w:hAnsi="仿宋"/>
          <w:szCs w:val="21"/>
        </w:rPr>
      </w:pPr>
      <w:r w:rsidRPr="00544703">
        <w:rPr>
          <w:rFonts w:ascii="仿宋" w:eastAsia="仿宋" w:hAnsi="仿宋" w:hint="eastAsia"/>
          <w:szCs w:val="21"/>
        </w:rPr>
        <w:t>注：学院学位分委员会的认可以2/3出席委员不记名投票同意为准。</w:t>
      </w:r>
    </w:p>
    <w:p w:rsidR="007935C9" w:rsidRPr="00EC5A4B" w:rsidRDefault="00EC5A4B" w:rsidP="007E5FFF">
      <w:pPr>
        <w:spacing w:line="320" w:lineRule="exact"/>
        <w:rPr>
          <w:rFonts w:ascii="仿宋" w:eastAsia="仿宋" w:hAnsi="仿宋"/>
          <w:b/>
          <w:szCs w:val="21"/>
        </w:rPr>
      </w:pPr>
      <w:r w:rsidRPr="00EC5A4B">
        <w:rPr>
          <w:rFonts w:ascii="仿宋" w:eastAsia="仿宋" w:hAnsi="仿宋" w:hint="eastAsia"/>
          <w:b/>
          <w:szCs w:val="21"/>
        </w:rPr>
        <w:t>八</w:t>
      </w:r>
      <w:r w:rsidR="007E5FFF" w:rsidRPr="00EC5A4B">
        <w:rPr>
          <w:rFonts w:ascii="仿宋" w:eastAsia="仿宋" w:hAnsi="仿宋" w:hint="eastAsia"/>
          <w:b/>
          <w:szCs w:val="21"/>
        </w:rPr>
        <w:t>、博士</w:t>
      </w:r>
      <w:r w:rsidR="00CF3C58">
        <w:rPr>
          <w:rFonts w:ascii="仿宋" w:eastAsia="仿宋" w:hAnsi="仿宋" w:hint="eastAsia"/>
          <w:b/>
          <w:szCs w:val="21"/>
        </w:rPr>
        <w:t>学位</w:t>
      </w:r>
      <w:r w:rsidR="007E5FFF" w:rsidRPr="00EC5A4B">
        <w:rPr>
          <w:rFonts w:ascii="仿宋" w:eastAsia="仿宋" w:hAnsi="仿宋" w:hint="eastAsia"/>
          <w:b/>
          <w:szCs w:val="21"/>
        </w:rPr>
        <w:t>论文</w:t>
      </w:r>
      <w:r w:rsidR="007935C9" w:rsidRPr="00EC5A4B">
        <w:rPr>
          <w:rFonts w:ascii="仿宋" w:eastAsia="仿宋" w:hAnsi="仿宋" w:hint="eastAsia"/>
          <w:b/>
          <w:szCs w:val="21"/>
        </w:rPr>
        <w:t>答辩</w:t>
      </w:r>
    </w:p>
    <w:p w:rsidR="007E5FFF" w:rsidRPr="00702600" w:rsidRDefault="007E5FFF" w:rsidP="007E5FFF">
      <w:pPr>
        <w:ind w:firstLineChars="200" w:firstLine="42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sidRPr="00702600">
        <w:rPr>
          <w:rFonts w:ascii="仿宋" w:eastAsia="仿宋" w:hAnsi="仿宋" w:hint="eastAsia"/>
          <w:szCs w:val="21"/>
        </w:rPr>
        <w:t>博士</w:t>
      </w:r>
      <w:r w:rsidR="00CF3C58">
        <w:rPr>
          <w:rFonts w:ascii="仿宋" w:eastAsia="仿宋" w:hAnsi="仿宋" w:hint="eastAsia"/>
          <w:szCs w:val="21"/>
        </w:rPr>
        <w:t>学位</w:t>
      </w:r>
      <w:r w:rsidRPr="00702600">
        <w:rPr>
          <w:rFonts w:ascii="仿宋" w:eastAsia="仿宋" w:hAnsi="仿宋" w:hint="eastAsia"/>
          <w:szCs w:val="21"/>
        </w:rPr>
        <w:t>论文答辩由导师组织、院系审核。</w:t>
      </w:r>
      <w:r w:rsidR="00702600">
        <w:rPr>
          <w:rFonts w:ascii="仿宋" w:eastAsia="仿宋" w:hAnsi="仿宋" w:hint="eastAsia"/>
          <w:szCs w:val="21"/>
        </w:rPr>
        <w:t>具体要求如下：</w:t>
      </w:r>
    </w:p>
    <w:p w:rsidR="007E5FFF" w:rsidRPr="00702600" w:rsidRDefault="00702600" w:rsidP="00702600">
      <w:pPr>
        <w:ind w:firstLineChars="100" w:firstLine="210"/>
        <w:rPr>
          <w:rFonts w:ascii="仿宋" w:eastAsia="仿宋" w:hAnsi="仿宋"/>
          <w:szCs w:val="21"/>
        </w:rPr>
      </w:pPr>
      <w:r>
        <w:rPr>
          <w:rFonts w:ascii="仿宋" w:eastAsia="仿宋" w:hAnsi="仿宋" w:hint="eastAsia"/>
          <w:szCs w:val="21"/>
        </w:rPr>
        <w:t>（1）</w:t>
      </w:r>
      <w:r w:rsidR="007E5FFF" w:rsidRPr="00702600">
        <w:rPr>
          <w:rFonts w:ascii="仿宋" w:eastAsia="仿宋" w:hAnsi="仿宋" w:hint="eastAsia"/>
          <w:szCs w:val="21"/>
        </w:rPr>
        <w:t>在返回的评阅意见为“同意答辩”且“查重”通过的条件下，导师可负责组织实施研究生学位论文答辩。在申请论文评阅和答辩时，提交给学院审核的答辩委员会名单需经教研室先行审核，再经学院审核通过后，院研办登记备案后学生凭此表及导师签字的预答辩记录，方可领取论文答辩表决票。</w:t>
      </w:r>
    </w:p>
    <w:p w:rsidR="007E5FFF" w:rsidRDefault="00702600" w:rsidP="00702600">
      <w:pPr>
        <w:spacing w:line="320" w:lineRule="exact"/>
        <w:ind w:firstLineChars="100" w:firstLine="210"/>
        <w:rPr>
          <w:rFonts w:ascii="仿宋" w:eastAsia="仿宋" w:hAnsi="仿宋"/>
          <w:szCs w:val="21"/>
        </w:rPr>
      </w:pPr>
      <w:r>
        <w:rPr>
          <w:rFonts w:ascii="仿宋" w:eastAsia="仿宋" w:hAnsi="仿宋" w:hint="eastAsia"/>
          <w:szCs w:val="21"/>
        </w:rPr>
        <w:t>（2）</w:t>
      </w:r>
      <w:r w:rsidR="007E5FFF" w:rsidRPr="00702600">
        <w:rPr>
          <w:rFonts w:ascii="仿宋" w:eastAsia="仿宋" w:hAnsi="仿宋" w:hint="eastAsia"/>
          <w:szCs w:val="21"/>
        </w:rPr>
        <w:t>博士学位论文答辩委员会由教授或相当专业技术职务的专家5人组成，其中博士生导师至少有3人，校外专家至少有2人。导师不参加答辩委员会。博士学位论文答辩秘书应具有讲师以上技术职务或博士学位。所有答辩委员的聘请，由导师提交超过5人的推荐人选，院系学位评定分委员会从中确定名单。答辩后须形成规范的答辩决议。学生在答辩结束之后</w:t>
      </w:r>
      <w:r w:rsidR="007E5FFF" w:rsidRPr="00702600">
        <w:rPr>
          <w:rFonts w:ascii="仿宋" w:eastAsia="仿宋" w:hAnsi="仿宋" w:hint="eastAsia"/>
          <w:szCs w:val="21"/>
        </w:rPr>
        <w:lastRenderedPageBreak/>
        <w:t>再根据答辩意见对论文进行细致的修改。</w:t>
      </w:r>
    </w:p>
    <w:p w:rsidR="00D31B7B" w:rsidRDefault="00D31B7B" w:rsidP="000A3E16">
      <w:pPr>
        <w:spacing w:line="320" w:lineRule="exact"/>
        <w:ind w:firstLineChars="200" w:firstLine="420"/>
        <w:rPr>
          <w:rFonts w:ascii="仿宋" w:eastAsia="仿宋" w:hAnsi="仿宋"/>
          <w:szCs w:val="21"/>
        </w:rPr>
      </w:pPr>
      <w:r w:rsidRPr="00D31B7B">
        <w:rPr>
          <w:rFonts w:ascii="仿宋" w:eastAsia="仿宋" w:hAnsi="仿宋" w:hint="eastAsia"/>
          <w:szCs w:val="21"/>
        </w:rPr>
        <w:t>答辩通过后，研究生按照学院规定的时间点，向院学位分委会提交学位申请材料，学院逐个仔细审核材料的真实性、完整性，汇总后召开院学位分委会。</w:t>
      </w:r>
      <w:r>
        <w:rPr>
          <w:rFonts w:ascii="仿宋" w:eastAsia="仿宋" w:hAnsi="仿宋" w:hint="eastAsia"/>
          <w:szCs w:val="21"/>
        </w:rPr>
        <w:t>院</w:t>
      </w:r>
      <w:r w:rsidRPr="00D31B7B">
        <w:rPr>
          <w:rFonts w:ascii="仿宋" w:eastAsia="仿宋" w:hAnsi="仿宋" w:hint="eastAsia"/>
          <w:szCs w:val="21"/>
        </w:rPr>
        <w:t>学位分委会对研究生的科研成果质量，及其与学位论文的相关性进行审核、讨论及表决。讨论后，学位分委会实行无记名投票，投票结果2/3以上同意，方可通过，并送交学校学位委员会讨论是否授予学位。对于表决结果不通过者，研究生本人及其导师应根据分委会讨论审核结果，对论文做相应修改后，可再次向院学位分委员会提交申请，重新表决。</w:t>
      </w:r>
    </w:p>
    <w:p w:rsidR="00D31B7B" w:rsidRPr="00EF1EB1" w:rsidRDefault="00D31B7B" w:rsidP="00702600">
      <w:pPr>
        <w:spacing w:line="320" w:lineRule="exact"/>
        <w:ind w:firstLineChars="100" w:firstLine="210"/>
        <w:rPr>
          <w:rFonts w:ascii="仿宋" w:eastAsia="仿宋" w:hAnsi="仿宋"/>
          <w:szCs w:val="21"/>
        </w:rPr>
      </w:pPr>
    </w:p>
    <w:p w:rsidR="007935C9" w:rsidRPr="00114386" w:rsidRDefault="00EC5A4B" w:rsidP="00702600">
      <w:pPr>
        <w:jc w:val="left"/>
        <w:rPr>
          <w:rFonts w:ascii="仿宋" w:eastAsia="仿宋" w:hAnsi="仿宋"/>
          <w:b/>
          <w:szCs w:val="21"/>
        </w:rPr>
      </w:pPr>
      <w:r w:rsidRPr="00114386">
        <w:rPr>
          <w:rFonts w:ascii="仿宋" w:eastAsia="仿宋" w:hAnsi="仿宋" w:hint="eastAsia"/>
          <w:b/>
          <w:szCs w:val="21"/>
        </w:rPr>
        <w:t>九</w:t>
      </w:r>
      <w:r w:rsidR="00702600" w:rsidRPr="00114386">
        <w:rPr>
          <w:rFonts w:ascii="仿宋" w:eastAsia="仿宋" w:hAnsi="仿宋" w:hint="eastAsia"/>
          <w:b/>
          <w:szCs w:val="21"/>
        </w:rPr>
        <w:t>、</w:t>
      </w:r>
      <w:r w:rsidR="007935C9" w:rsidRPr="00114386">
        <w:rPr>
          <w:rFonts w:ascii="仿宋" w:eastAsia="仿宋" w:hAnsi="仿宋" w:hint="eastAsia"/>
          <w:b/>
          <w:szCs w:val="21"/>
        </w:rPr>
        <w:t>硕博连读和直博</w:t>
      </w:r>
    </w:p>
    <w:p w:rsidR="007935C9" w:rsidRDefault="007935C9" w:rsidP="007935C9">
      <w:pPr>
        <w:spacing w:line="320" w:lineRule="exact"/>
        <w:ind w:firstLine="420"/>
        <w:rPr>
          <w:rFonts w:ascii="仿宋" w:eastAsia="仿宋" w:hAnsi="仿宋"/>
          <w:szCs w:val="21"/>
        </w:rPr>
      </w:pPr>
      <w:r>
        <w:rPr>
          <w:rFonts w:ascii="仿宋" w:eastAsia="仿宋" w:hAnsi="仿宋" w:hint="eastAsia"/>
          <w:szCs w:val="21"/>
        </w:rPr>
        <w:t>硕博连读和直博是选择优秀培养对象进行系统化贯通培养的方式，可缩短培养年限，提高培养质量，特别是提高博士学位论文的质量。</w:t>
      </w:r>
    </w:p>
    <w:p w:rsidR="00E9371C" w:rsidRPr="000A3E16" w:rsidRDefault="000A3E16" w:rsidP="000A3E16">
      <w:pPr>
        <w:ind w:firstLineChars="200" w:firstLine="420"/>
        <w:rPr>
          <w:rFonts w:ascii="仿宋" w:eastAsia="仿宋" w:hAnsi="仿宋"/>
          <w:szCs w:val="21"/>
        </w:rPr>
      </w:pPr>
      <w:r w:rsidRPr="000A3E16">
        <w:rPr>
          <w:rFonts w:ascii="仿宋" w:eastAsia="仿宋" w:hAnsi="仿宋" w:hint="eastAsia"/>
          <w:szCs w:val="21"/>
        </w:rPr>
        <w:t>硕</w:t>
      </w:r>
      <w:r w:rsidR="004F674B" w:rsidRPr="000A3E16">
        <w:rPr>
          <w:rFonts w:ascii="仿宋" w:eastAsia="仿宋" w:hAnsi="仿宋" w:hint="eastAsia"/>
          <w:szCs w:val="21"/>
        </w:rPr>
        <w:t>博连读研究生培养</w:t>
      </w:r>
      <w:r w:rsidR="00D31B7B" w:rsidRPr="000A3E16">
        <w:rPr>
          <w:rFonts w:ascii="仿宋" w:eastAsia="仿宋" w:hAnsi="仿宋" w:hint="eastAsia"/>
          <w:szCs w:val="21"/>
        </w:rPr>
        <w:t>方案</w:t>
      </w:r>
      <w:r w:rsidR="004F674B" w:rsidRPr="000A3E16">
        <w:rPr>
          <w:rFonts w:ascii="仿宋" w:eastAsia="仿宋" w:hAnsi="仿宋" w:hint="eastAsia"/>
          <w:szCs w:val="21"/>
        </w:rPr>
        <w:t>参照博士生的培养</w:t>
      </w:r>
      <w:r w:rsidR="00D31B7B" w:rsidRPr="000A3E16">
        <w:rPr>
          <w:rFonts w:ascii="仿宋" w:eastAsia="仿宋" w:hAnsi="仿宋" w:hint="eastAsia"/>
          <w:szCs w:val="21"/>
        </w:rPr>
        <w:t>方案</w:t>
      </w:r>
      <w:r w:rsidR="004F674B" w:rsidRPr="000A3E16">
        <w:rPr>
          <w:rFonts w:ascii="仿宋" w:eastAsia="仿宋" w:hAnsi="仿宋" w:hint="eastAsia"/>
          <w:szCs w:val="21"/>
        </w:rPr>
        <w:t>。</w:t>
      </w:r>
    </w:p>
    <w:p w:rsidR="00D31B7B" w:rsidRDefault="004F674B" w:rsidP="000A3E16">
      <w:pPr>
        <w:ind w:firstLineChars="200" w:firstLine="420"/>
        <w:rPr>
          <w:rFonts w:ascii="仿宋" w:eastAsia="仿宋" w:hAnsi="仿宋"/>
          <w:szCs w:val="21"/>
        </w:rPr>
      </w:pPr>
      <w:r w:rsidRPr="000A3E16">
        <w:rPr>
          <w:rFonts w:ascii="仿宋" w:eastAsia="仿宋" w:hAnsi="仿宋" w:hint="eastAsia"/>
          <w:szCs w:val="21"/>
        </w:rPr>
        <w:t>直博生</w:t>
      </w:r>
      <w:r w:rsidR="000A3E16">
        <w:rPr>
          <w:rFonts w:ascii="仿宋" w:eastAsia="仿宋" w:hAnsi="仿宋" w:hint="eastAsia"/>
          <w:szCs w:val="21"/>
        </w:rPr>
        <w:t>在入学后</w:t>
      </w:r>
      <w:r w:rsidR="0031020C">
        <w:rPr>
          <w:rFonts w:ascii="仿宋" w:eastAsia="仿宋" w:hAnsi="仿宋" w:hint="eastAsia"/>
          <w:szCs w:val="21"/>
        </w:rPr>
        <w:t>，第一年主要完成相关研究生课程的学习，修满毕业所需的学分。第二年开始</w:t>
      </w:r>
      <w:r w:rsidR="0031020C" w:rsidRPr="0031020C">
        <w:rPr>
          <w:rFonts w:ascii="仿宋" w:eastAsia="仿宋" w:hAnsi="仿宋" w:hint="eastAsia"/>
          <w:szCs w:val="21"/>
        </w:rPr>
        <w:t>在导师的指导下</w:t>
      </w:r>
      <w:r w:rsidR="0031020C">
        <w:rPr>
          <w:rFonts w:ascii="仿宋" w:eastAsia="仿宋" w:hAnsi="仿宋" w:hint="eastAsia"/>
          <w:szCs w:val="21"/>
        </w:rPr>
        <w:t>着手开展博士学位</w:t>
      </w:r>
      <w:r w:rsidR="0031020C" w:rsidRPr="0031020C">
        <w:rPr>
          <w:rFonts w:ascii="仿宋" w:eastAsia="仿宋" w:hAnsi="仿宋" w:hint="eastAsia"/>
          <w:szCs w:val="21"/>
        </w:rPr>
        <w:t>论文的选题和</w:t>
      </w:r>
      <w:r w:rsidR="0031020C">
        <w:rPr>
          <w:rFonts w:ascii="仿宋" w:eastAsia="仿宋" w:hAnsi="仿宋" w:hint="eastAsia"/>
          <w:szCs w:val="21"/>
        </w:rPr>
        <w:t>相关准备</w:t>
      </w:r>
      <w:r w:rsidR="0031020C" w:rsidRPr="0031020C">
        <w:rPr>
          <w:rFonts w:ascii="仿宋" w:eastAsia="仿宋" w:hAnsi="仿宋" w:hint="eastAsia"/>
          <w:szCs w:val="21"/>
        </w:rPr>
        <w:t>，</w:t>
      </w:r>
      <w:r w:rsidR="000A3E16">
        <w:rPr>
          <w:rFonts w:ascii="仿宋" w:eastAsia="仿宋" w:hAnsi="仿宋" w:hint="eastAsia"/>
          <w:szCs w:val="21"/>
        </w:rPr>
        <w:t>第三年的第一学期进行“博士生资格考核”，</w:t>
      </w:r>
      <w:r w:rsidR="00B60ADD">
        <w:rPr>
          <w:rFonts w:ascii="仿宋" w:eastAsia="仿宋" w:hAnsi="仿宋" w:hint="eastAsia"/>
          <w:szCs w:val="21"/>
        </w:rPr>
        <w:t>其他</w:t>
      </w:r>
      <w:r w:rsidR="000A3E16">
        <w:rPr>
          <w:rFonts w:ascii="仿宋" w:eastAsia="仿宋" w:hAnsi="仿宋" w:hint="eastAsia"/>
          <w:szCs w:val="21"/>
        </w:rPr>
        <w:t>要求参照博士生培养方案。</w:t>
      </w:r>
    </w:p>
    <w:p w:rsidR="00114386" w:rsidRDefault="00114386" w:rsidP="000A3E16">
      <w:pPr>
        <w:ind w:firstLineChars="200" w:firstLine="42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南京大学电子科学与工程学院</w:t>
      </w:r>
    </w:p>
    <w:p w:rsidR="00114386" w:rsidRPr="000A3E16" w:rsidRDefault="00114386" w:rsidP="000A3E16">
      <w:pPr>
        <w:ind w:firstLineChars="200" w:firstLine="42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2020年6月29日</w:t>
      </w:r>
    </w:p>
    <w:sectPr w:rsidR="00114386" w:rsidRPr="000A3E16" w:rsidSect="00836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EFE" w:rsidRDefault="00265EFE" w:rsidP="00DA6E18">
      <w:r>
        <w:separator/>
      </w:r>
    </w:p>
  </w:endnote>
  <w:endnote w:type="continuationSeparator" w:id="0">
    <w:p w:rsidR="00265EFE" w:rsidRDefault="00265EFE" w:rsidP="00DA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EFE" w:rsidRDefault="00265EFE" w:rsidP="00DA6E18">
      <w:r>
        <w:separator/>
      </w:r>
    </w:p>
  </w:footnote>
  <w:footnote w:type="continuationSeparator" w:id="0">
    <w:p w:rsidR="00265EFE" w:rsidRDefault="00265EFE" w:rsidP="00DA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239"/>
    <w:multiLevelType w:val="singleLevel"/>
    <w:tmpl w:val="0CC6738A"/>
    <w:lvl w:ilvl="0">
      <w:start w:val="1"/>
      <w:numFmt w:val="none"/>
      <w:lvlText w:val="一、"/>
      <w:lvlJc w:val="left"/>
      <w:pPr>
        <w:tabs>
          <w:tab w:val="num" w:pos="420"/>
        </w:tabs>
        <w:ind w:left="420" w:hanging="420"/>
      </w:pPr>
      <w:rPr>
        <w:rFonts w:hint="eastAsia"/>
      </w:rPr>
    </w:lvl>
  </w:abstractNum>
  <w:abstractNum w:abstractNumId="1" w15:restartNumberingAfterBreak="0">
    <w:nsid w:val="0B5C7AA6"/>
    <w:multiLevelType w:val="hybridMultilevel"/>
    <w:tmpl w:val="92A8DCD0"/>
    <w:lvl w:ilvl="0" w:tplc="055CFC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F60E8A"/>
    <w:multiLevelType w:val="hybridMultilevel"/>
    <w:tmpl w:val="DC7E8F4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A3B79"/>
    <w:multiLevelType w:val="hybridMultilevel"/>
    <w:tmpl w:val="F146AB0C"/>
    <w:lvl w:ilvl="0" w:tplc="8B407E0C">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991287"/>
    <w:multiLevelType w:val="hybridMultilevel"/>
    <w:tmpl w:val="FB06AC34"/>
    <w:lvl w:ilvl="0" w:tplc="E1EA8C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CD3B0A"/>
    <w:multiLevelType w:val="hybridMultilevel"/>
    <w:tmpl w:val="4C165526"/>
    <w:lvl w:ilvl="0" w:tplc="D73EF2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766B94"/>
    <w:multiLevelType w:val="hybridMultilevel"/>
    <w:tmpl w:val="9B4C2246"/>
    <w:lvl w:ilvl="0" w:tplc="E1EA8CD6">
      <w:start w:val="1"/>
      <w:numFmt w:val="decimal"/>
      <w:lvlText w:val="%1）"/>
      <w:lvlJc w:val="left"/>
      <w:pPr>
        <w:ind w:left="420" w:hanging="420"/>
      </w:pPr>
    </w:lvl>
    <w:lvl w:ilvl="1" w:tplc="E1EA8CD6">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33D11A55"/>
    <w:multiLevelType w:val="hybridMultilevel"/>
    <w:tmpl w:val="E648EDB6"/>
    <w:lvl w:ilvl="0" w:tplc="156890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1927A7"/>
    <w:multiLevelType w:val="hybridMultilevel"/>
    <w:tmpl w:val="38FA395C"/>
    <w:lvl w:ilvl="0" w:tplc="63FC5564">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3CE14459"/>
    <w:multiLevelType w:val="hybridMultilevel"/>
    <w:tmpl w:val="BB3A40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837C9A"/>
    <w:multiLevelType w:val="singleLevel"/>
    <w:tmpl w:val="C478E96C"/>
    <w:lvl w:ilvl="0">
      <w:start w:val="1"/>
      <w:numFmt w:val="decimal"/>
      <w:lvlText w:val="%1、"/>
      <w:lvlJc w:val="left"/>
      <w:pPr>
        <w:tabs>
          <w:tab w:val="num" w:pos="360"/>
        </w:tabs>
        <w:ind w:left="360" w:hanging="360"/>
      </w:pPr>
      <w:rPr>
        <w:rFonts w:hint="eastAsia"/>
      </w:rPr>
    </w:lvl>
  </w:abstractNum>
  <w:abstractNum w:abstractNumId="11" w15:restartNumberingAfterBreak="0">
    <w:nsid w:val="48FF1D7F"/>
    <w:multiLevelType w:val="hybridMultilevel"/>
    <w:tmpl w:val="7C040A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594810"/>
    <w:multiLevelType w:val="hybridMultilevel"/>
    <w:tmpl w:val="D1AC48CA"/>
    <w:lvl w:ilvl="0" w:tplc="0409000F">
      <w:start w:val="1"/>
      <w:numFmt w:val="decimal"/>
      <w:lvlText w:val="%1."/>
      <w:lvlJc w:val="left"/>
      <w:pPr>
        <w:ind w:left="420" w:hanging="420"/>
      </w:pPr>
    </w:lvl>
    <w:lvl w:ilvl="1" w:tplc="F80A5C2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D4266D3"/>
    <w:multiLevelType w:val="hybridMultilevel"/>
    <w:tmpl w:val="0DD60BF0"/>
    <w:lvl w:ilvl="0" w:tplc="0409000F">
      <w:start w:val="1"/>
      <w:numFmt w:val="decimal"/>
      <w:lvlText w:val="%1."/>
      <w:lvlJc w:val="left"/>
      <w:pPr>
        <w:ind w:left="420" w:hanging="420"/>
      </w:pPr>
    </w:lvl>
    <w:lvl w:ilvl="1" w:tplc="F80A5C2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F95373"/>
    <w:multiLevelType w:val="hybridMultilevel"/>
    <w:tmpl w:val="7368D0D6"/>
    <w:lvl w:ilvl="0" w:tplc="D4CE5BBA">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63A57B84"/>
    <w:multiLevelType w:val="hybridMultilevel"/>
    <w:tmpl w:val="44C6AFCC"/>
    <w:lvl w:ilvl="0" w:tplc="10D898AA">
      <w:start w:val="1"/>
      <w:numFmt w:val="decimal"/>
      <w:lvlText w:val="%1．"/>
      <w:lvlJc w:val="left"/>
      <w:pPr>
        <w:ind w:left="786"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6" w15:restartNumberingAfterBreak="0">
    <w:nsid w:val="6407394F"/>
    <w:multiLevelType w:val="hybridMultilevel"/>
    <w:tmpl w:val="60FE5CC8"/>
    <w:lvl w:ilvl="0" w:tplc="523ADFEE">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15:restartNumberingAfterBreak="0">
    <w:nsid w:val="6D800970"/>
    <w:multiLevelType w:val="hybridMultilevel"/>
    <w:tmpl w:val="6786E76A"/>
    <w:lvl w:ilvl="0" w:tplc="D696B784">
      <w:start w:val="1"/>
      <w:numFmt w:val="japaneseCounting"/>
      <w:lvlText w:val="%1、"/>
      <w:lvlJc w:val="left"/>
      <w:pPr>
        <w:ind w:left="720" w:hanging="720"/>
      </w:pPr>
      <w:rPr>
        <w:rFonts w:hint="default"/>
      </w:rPr>
    </w:lvl>
    <w:lvl w:ilvl="1" w:tplc="7842FE0E">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F81959"/>
    <w:multiLevelType w:val="hybridMultilevel"/>
    <w:tmpl w:val="900E062E"/>
    <w:lvl w:ilvl="0" w:tplc="6A22F29A">
      <w:start w:val="1"/>
      <w:numFmt w:val="japaneseCounting"/>
      <w:lvlText w:val="%1、"/>
      <w:lvlJc w:val="left"/>
      <w:pPr>
        <w:ind w:left="420" w:hanging="4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9" w15:restartNumberingAfterBreak="0">
    <w:nsid w:val="77EF6B5B"/>
    <w:multiLevelType w:val="hybridMultilevel"/>
    <w:tmpl w:val="BFF8210E"/>
    <w:lvl w:ilvl="0" w:tplc="AD9855F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3405CB"/>
    <w:multiLevelType w:val="hybridMultilevel"/>
    <w:tmpl w:val="50960EEE"/>
    <w:lvl w:ilvl="0" w:tplc="2DB4A6D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634395"/>
    <w:multiLevelType w:val="hybridMultilevel"/>
    <w:tmpl w:val="7BCE0728"/>
    <w:lvl w:ilvl="0" w:tplc="9436738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0"/>
  </w:num>
  <w:num w:numId="3">
    <w:abstractNumId w:val="15"/>
  </w:num>
  <w:num w:numId="4">
    <w:abstractNumId w:val="12"/>
  </w:num>
  <w:num w:numId="5">
    <w:abstractNumId w:val="2"/>
  </w:num>
  <w:num w:numId="6">
    <w:abstractNumId w:val="9"/>
  </w:num>
  <w:num w:numId="7">
    <w:abstractNumId w:val="11"/>
  </w:num>
  <w:num w:numId="8">
    <w:abstractNumId w:val="13"/>
  </w:num>
  <w:num w:numId="9">
    <w:abstractNumId w:val="6"/>
  </w:num>
  <w:num w:numId="10">
    <w:abstractNumId w:val="4"/>
  </w:num>
  <w:num w:numId="11">
    <w:abstractNumId w:val="3"/>
  </w:num>
  <w:num w:numId="12">
    <w:abstractNumId w:val="18"/>
  </w:num>
  <w:num w:numId="13">
    <w:abstractNumId w:val="19"/>
  </w:num>
  <w:num w:numId="14">
    <w:abstractNumId w:val="21"/>
  </w:num>
  <w:num w:numId="15">
    <w:abstractNumId w:val="17"/>
  </w:num>
  <w:num w:numId="16">
    <w:abstractNumId w:val="1"/>
  </w:num>
  <w:num w:numId="17">
    <w:abstractNumId w:val="14"/>
  </w:num>
  <w:num w:numId="18">
    <w:abstractNumId w:val="7"/>
  </w:num>
  <w:num w:numId="19">
    <w:abstractNumId w:val="8"/>
  </w:num>
  <w:num w:numId="20">
    <w:abstractNumId w:val="16"/>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34"/>
    <w:rsid w:val="000248EE"/>
    <w:rsid w:val="000434F5"/>
    <w:rsid w:val="000463F4"/>
    <w:rsid w:val="00063D92"/>
    <w:rsid w:val="00067DBC"/>
    <w:rsid w:val="0007601B"/>
    <w:rsid w:val="00096349"/>
    <w:rsid w:val="000A3E16"/>
    <w:rsid w:val="000A4C4A"/>
    <w:rsid w:val="000B0ABE"/>
    <w:rsid w:val="000B5789"/>
    <w:rsid w:val="000C7CA5"/>
    <w:rsid w:val="00113D96"/>
    <w:rsid w:val="00114386"/>
    <w:rsid w:val="00130DEE"/>
    <w:rsid w:val="00132259"/>
    <w:rsid w:val="00143B8B"/>
    <w:rsid w:val="00174680"/>
    <w:rsid w:val="001B6EC8"/>
    <w:rsid w:val="001C47DD"/>
    <w:rsid w:val="001C7411"/>
    <w:rsid w:val="001D11B9"/>
    <w:rsid w:val="0021585C"/>
    <w:rsid w:val="00223993"/>
    <w:rsid w:val="00240995"/>
    <w:rsid w:val="00242421"/>
    <w:rsid w:val="002461D1"/>
    <w:rsid w:val="00253C9E"/>
    <w:rsid w:val="00265EFE"/>
    <w:rsid w:val="00273189"/>
    <w:rsid w:val="002A1574"/>
    <w:rsid w:val="002A3B5E"/>
    <w:rsid w:val="002A54D2"/>
    <w:rsid w:val="002C348A"/>
    <w:rsid w:val="002C6E4A"/>
    <w:rsid w:val="002D5BAB"/>
    <w:rsid w:val="002F1B9C"/>
    <w:rsid w:val="00307A9F"/>
    <w:rsid w:val="0031020C"/>
    <w:rsid w:val="00323622"/>
    <w:rsid w:val="00333B9F"/>
    <w:rsid w:val="00333C0D"/>
    <w:rsid w:val="00334E1E"/>
    <w:rsid w:val="003430DA"/>
    <w:rsid w:val="00346608"/>
    <w:rsid w:val="00346834"/>
    <w:rsid w:val="00363ABB"/>
    <w:rsid w:val="00373782"/>
    <w:rsid w:val="00381558"/>
    <w:rsid w:val="00394330"/>
    <w:rsid w:val="00394CF6"/>
    <w:rsid w:val="003A3BE3"/>
    <w:rsid w:val="003C43ED"/>
    <w:rsid w:val="003C5635"/>
    <w:rsid w:val="003F0CAB"/>
    <w:rsid w:val="004071B7"/>
    <w:rsid w:val="004157C1"/>
    <w:rsid w:val="004274F2"/>
    <w:rsid w:val="004349B0"/>
    <w:rsid w:val="004360DA"/>
    <w:rsid w:val="0043659D"/>
    <w:rsid w:val="00473FF8"/>
    <w:rsid w:val="004804A5"/>
    <w:rsid w:val="0049410B"/>
    <w:rsid w:val="004A2BAF"/>
    <w:rsid w:val="004B22B8"/>
    <w:rsid w:val="004C30A1"/>
    <w:rsid w:val="004C7992"/>
    <w:rsid w:val="004D48D1"/>
    <w:rsid w:val="004E502B"/>
    <w:rsid w:val="004E7B8C"/>
    <w:rsid w:val="004F4EF2"/>
    <w:rsid w:val="004F674B"/>
    <w:rsid w:val="005162BF"/>
    <w:rsid w:val="005365E6"/>
    <w:rsid w:val="00544703"/>
    <w:rsid w:val="0056033A"/>
    <w:rsid w:val="0056259C"/>
    <w:rsid w:val="005712DF"/>
    <w:rsid w:val="00573481"/>
    <w:rsid w:val="00575055"/>
    <w:rsid w:val="0059401B"/>
    <w:rsid w:val="00595B31"/>
    <w:rsid w:val="005A09A1"/>
    <w:rsid w:val="005B0FA0"/>
    <w:rsid w:val="005B2E13"/>
    <w:rsid w:val="005C2FC5"/>
    <w:rsid w:val="005C3838"/>
    <w:rsid w:val="005F08D4"/>
    <w:rsid w:val="005F5C75"/>
    <w:rsid w:val="005F6277"/>
    <w:rsid w:val="0060309F"/>
    <w:rsid w:val="00623624"/>
    <w:rsid w:val="00626F7B"/>
    <w:rsid w:val="006271DB"/>
    <w:rsid w:val="006533CB"/>
    <w:rsid w:val="00662249"/>
    <w:rsid w:val="006677DD"/>
    <w:rsid w:val="00680444"/>
    <w:rsid w:val="00680B92"/>
    <w:rsid w:val="006B0BCF"/>
    <w:rsid w:val="006B33D6"/>
    <w:rsid w:val="006C5CC5"/>
    <w:rsid w:val="006F4277"/>
    <w:rsid w:val="00702600"/>
    <w:rsid w:val="00703532"/>
    <w:rsid w:val="00706AAC"/>
    <w:rsid w:val="00706FCF"/>
    <w:rsid w:val="00712C1E"/>
    <w:rsid w:val="00716AD5"/>
    <w:rsid w:val="00730D58"/>
    <w:rsid w:val="00734689"/>
    <w:rsid w:val="0073579F"/>
    <w:rsid w:val="00761817"/>
    <w:rsid w:val="00767048"/>
    <w:rsid w:val="0077717B"/>
    <w:rsid w:val="007935C9"/>
    <w:rsid w:val="007A5457"/>
    <w:rsid w:val="007B5D76"/>
    <w:rsid w:val="007E457D"/>
    <w:rsid w:val="007E5FFF"/>
    <w:rsid w:val="007F0146"/>
    <w:rsid w:val="00807F38"/>
    <w:rsid w:val="0083609C"/>
    <w:rsid w:val="0083630A"/>
    <w:rsid w:val="00836CC9"/>
    <w:rsid w:val="00836F68"/>
    <w:rsid w:val="00841254"/>
    <w:rsid w:val="00847178"/>
    <w:rsid w:val="0087653D"/>
    <w:rsid w:val="00887A9D"/>
    <w:rsid w:val="00895FE4"/>
    <w:rsid w:val="008A30FD"/>
    <w:rsid w:val="008A783D"/>
    <w:rsid w:val="008B044A"/>
    <w:rsid w:val="008B6B3C"/>
    <w:rsid w:val="008F5A1A"/>
    <w:rsid w:val="00911863"/>
    <w:rsid w:val="00916ABD"/>
    <w:rsid w:val="00921214"/>
    <w:rsid w:val="0094175D"/>
    <w:rsid w:val="009914E0"/>
    <w:rsid w:val="009B7B15"/>
    <w:rsid w:val="009C1469"/>
    <w:rsid w:val="009C755F"/>
    <w:rsid w:val="009D02D6"/>
    <w:rsid w:val="009E3603"/>
    <w:rsid w:val="009E40A3"/>
    <w:rsid w:val="00A02E3D"/>
    <w:rsid w:val="00A035D2"/>
    <w:rsid w:val="00A120E4"/>
    <w:rsid w:val="00A3003B"/>
    <w:rsid w:val="00A51217"/>
    <w:rsid w:val="00A637A0"/>
    <w:rsid w:val="00A86763"/>
    <w:rsid w:val="00AA1698"/>
    <w:rsid w:val="00AA2CDB"/>
    <w:rsid w:val="00AB6D75"/>
    <w:rsid w:val="00AC3AE8"/>
    <w:rsid w:val="00AC71FA"/>
    <w:rsid w:val="00AD08AD"/>
    <w:rsid w:val="00AD1B37"/>
    <w:rsid w:val="00AE0276"/>
    <w:rsid w:val="00B1285B"/>
    <w:rsid w:val="00B149AD"/>
    <w:rsid w:val="00B15E79"/>
    <w:rsid w:val="00B1696B"/>
    <w:rsid w:val="00B20963"/>
    <w:rsid w:val="00B249F9"/>
    <w:rsid w:val="00B36F5A"/>
    <w:rsid w:val="00B525C3"/>
    <w:rsid w:val="00B543BC"/>
    <w:rsid w:val="00B60ADD"/>
    <w:rsid w:val="00B62FD1"/>
    <w:rsid w:val="00B932E6"/>
    <w:rsid w:val="00BB2A9C"/>
    <w:rsid w:val="00BB7C24"/>
    <w:rsid w:val="00BC12A5"/>
    <w:rsid w:val="00BE0C4C"/>
    <w:rsid w:val="00BF3B09"/>
    <w:rsid w:val="00BF7FC6"/>
    <w:rsid w:val="00C03E74"/>
    <w:rsid w:val="00C10A17"/>
    <w:rsid w:val="00C1257D"/>
    <w:rsid w:val="00C25E1E"/>
    <w:rsid w:val="00C35EB1"/>
    <w:rsid w:val="00C4476C"/>
    <w:rsid w:val="00C54193"/>
    <w:rsid w:val="00C84BA0"/>
    <w:rsid w:val="00C878DC"/>
    <w:rsid w:val="00C9489E"/>
    <w:rsid w:val="00CB1894"/>
    <w:rsid w:val="00CC4696"/>
    <w:rsid w:val="00CC5B0B"/>
    <w:rsid w:val="00CE13F2"/>
    <w:rsid w:val="00CF19C4"/>
    <w:rsid w:val="00CF3C58"/>
    <w:rsid w:val="00D30E3C"/>
    <w:rsid w:val="00D30E6F"/>
    <w:rsid w:val="00D31B7B"/>
    <w:rsid w:val="00D444CC"/>
    <w:rsid w:val="00D65458"/>
    <w:rsid w:val="00D743BA"/>
    <w:rsid w:val="00D746A9"/>
    <w:rsid w:val="00D8327E"/>
    <w:rsid w:val="00D94F8A"/>
    <w:rsid w:val="00DA3C90"/>
    <w:rsid w:val="00DA6E18"/>
    <w:rsid w:val="00DB04AC"/>
    <w:rsid w:val="00DC2D1A"/>
    <w:rsid w:val="00DF2C24"/>
    <w:rsid w:val="00E155E0"/>
    <w:rsid w:val="00E27D73"/>
    <w:rsid w:val="00E30FC7"/>
    <w:rsid w:val="00E4610E"/>
    <w:rsid w:val="00E5798C"/>
    <w:rsid w:val="00E63FB9"/>
    <w:rsid w:val="00E6692E"/>
    <w:rsid w:val="00E669C6"/>
    <w:rsid w:val="00E7375C"/>
    <w:rsid w:val="00E83FFC"/>
    <w:rsid w:val="00E85B61"/>
    <w:rsid w:val="00E8648E"/>
    <w:rsid w:val="00E91AC1"/>
    <w:rsid w:val="00E9371C"/>
    <w:rsid w:val="00E9785D"/>
    <w:rsid w:val="00EA1713"/>
    <w:rsid w:val="00EA2F99"/>
    <w:rsid w:val="00EA36A8"/>
    <w:rsid w:val="00EA6837"/>
    <w:rsid w:val="00EB43D9"/>
    <w:rsid w:val="00EB680D"/>
    <w:rsid w:val="00EC29C4"/>
    <w:rsid w:val="00EC5A4B"/>
    <w:rsid w:val="00EE203E"/>
    <w:rsid w:val="00EF1EB1"/>
    <w:rsid w:val="00EF7419"/>
    <w:rsid w:val="00F358D4"/>
    <w:rsid w:val="00F512BF"/>
    <w:rsid w:val="00F526D6"/>
    <w:rsid w:val="00F55C11"/>
    <w:rsid w:val="00F625E3"/>
    <w:rsid w:val="00F76901"/>
    <w:rsid w:val="00F86D2A"/>
    <w:rsid w:val="00F94FA7"/>
    <w:rsid w:val="00F95B02"/>
    <w:rsid w:val="00FA4AC9"/>
    <w:rsid w:val="00FB3549"/>
    <w:rsid w:val="00FB6DDD"/>
    <w:rsid w:val="00FD7597"/>
    <w:rsid w:val="00FF3F54"/>
    <w:rsid w:val="280B5C5A"/>
    <w:rsid w:val="641F3DDB"/>
    <w:rsid w:val="7DF81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AFA0E-0DBF-4A63-B1C2-4E39331F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F6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36F68"/>
    <w:pPr>
      <w:jc w:val="left"/>
    </w:pPr>
  </w:style>
  <w:style w:type="paragraph" w:styleId="a5">
    <w:name w:val="Balloon Text"/>
    <w:basedOn w:val="a"/>
    <w:link w:val="a6"/>
    <w:uiPriority w:val="99"/>
    <w:semiHidden/>
    <w:unhideWhenUsed/>
    <w:rsid w:val="00836F68"/>
    <w:rPr>
      <w:sz w:val="18"/>
      <w:szCs w:val="18"/>
    </w:rPr>
  </w:style>
  <w:style w:type="paragraph" w:styleId="a7">
    <w:name w:val="footer"/>
    <w:basedOn w:val="a"/>
    <w:link w:val="a8"/>
    <w:uiPriority w:val="99"/>
    <w:unhideWhenUsed/>
    <w:rsid w:val="00836F68"/>
    <w:pPr>
      <w:tabs>
        <w:tab w:val="center" w:pos="4153"/>
        <w:tab w:val="right" w:pos="8306"/>
      </w:tabs>
      <w:snapToGrid w:val="0"/>
      <w:jc w:val="left"/>
    </w:pPr>
    <w:rPr>
      <w:sz w:val="18"/>
      <w:szCs w:val="18"/>
    </w:rPr>
  </w:style>
  <w:style w:type="paragraph" w:styleId="a9">
    <w:name w:val="header"/>
    <w:basedOn w:val="a"/>
    <w:link w:val="aa"/>
    <w:uiPriority w:val="99"/>
    <w:unhideWhenUsed/>
    <w:rsid w:val="00836F68"/>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semiHidden/>
    <w:unhideWhenUsed/>
    <w:rsid w:val="00836F68"/>
    <w:rPr>
      <w:sz w:val="21"/>
      <w:szCs w:val="21"/>
    </w:rPr>
  </w:style>
  <w:style w:type="character" w:customStyle="1" w:styleId="aa">
    <w:name w:val="页眉 字符"/>
    <w:basedOn w:val="a0"/>
    <w:link w:val="a9"/>
    <w:uiPriority w:val="99"/>
    <w:rsid w:val="00836F68"/>
    <w:rPr>
      <w:rFonts w:ascii="Times New Roman" w:eastAsia="宋体" w:hAnsi="Times New Roman" w:cs="Times New Roman"/>
      <w:sz w:val="18"/>
      <w:szCs w:val="18"/>
    </w:rPr>
  </w:style>
  <w:style w:type="character" w:customStyle="1" w:styleId="a8">
    <w:name w:val="页脚 字符"/>
    <w:basedOn w:val="a0"/>
    <w:link w:val="a7"/>
    <w:uiPriority w:val="99"/>
    <w:rsid w:val="00836F68"/>
    <w:rPr>
      <w:rFonts w:ascii="Times New Roman" w:eastAsia="宋体" w:hAnsi="Times New Roman" w:cs="Times New Roman"/>
      <w:sz w:val="18"/>
      <w:szCs w:val="18"/>
    </w:rPr>
  </w:style>
  <w:style w:type="character" w:customStyle="1" w:styleId="a6">
    <w:name w:val="批注框文本 字符"/>
    <w:basedOn w:val="a0"/>
    <w:link w:val="a5"/>
    <w:uiPriority w:val="99"/>
    <w:semiHidden/>
    <w:rsid w:val="00836F68"/>
    <w:rPr>
      <w:rFonts w:ascii="Times New Roman" w:eastAsia="宋体" w:hAnsi="Times New Roman" w:cs="Times New Roman"/>
      <w:sz w:val="18"/>
      <w:szCs w:val="18"/>
    </w:rPr>
  </w:style>
  <w:style w:type="character" w:customStyle="1" w:styleId="a4">
    <w:name w:val="批注文字 字符"/>
    <w:basedOn w:val="a0"/>
    <w:link w:val="a3"/>
    <w:uiPriority w:val="99"/>
    <w:semiHidden/>
    <w:rsid w:val="00836F68"/>
    <w:rPr>
      <w:rFonts w:ascii="Times New Roman" w:eastAsia="宋体" w:hAnsi="Times New Roman" w:cs="Times New Roman"/>
      <w:szCs w:val="24"/>
    </w:rPr>
  </w:style>
  <w:style w:type="paragraph" w:customStyle="1" w:styleId="1">
    <w:name w:val="修订1"/>
    <w:hidden/>
    <w:uiPriority w:val="99"/>
    <w:semiHidden/>
    <w:rsid w:val="00836F68"/>
    <w:rPr>
      <w:rFonts w:ascii="Times New Roman" w:eastAsia="宋体" w:hAnsi="Times New Roman" w:cs="Times New Roman"/>
      <w:kern w:val="2"/>
      <w:sz w:val="21"/>
      <w:szCs w:val="24"/>
    </w:rPr>
  </w:style>
  <w:style w:type="paragraph" w:styleId="ac">
    <w:name w:val="List Paragraph"/>
    <w:basedOn w:val="a"/>
    <w:uiPriority w:val="34"/>
    <w:qFormat/>
    <w:rsid w:val="00E9371C"/>
    <w:pPr>
      <w:ind w:firstLineChars="200" w:firstLine="420"/>
    </w:pPr>
    <w:rPr>
      <w:rFonts w:asciiTheme="minorHAnsi" w:eastAsiaTheme="minorEastAsia" w:hAnsiTheme="minorHAnsi" w:cstheme="minorBidi"/>
      <w:szCs w:val="22"/>
    </w:rPr>
  </w:style>
  <w:style w:type="character" w:styleId="ad">
    <w:name w:val="Strong"/>
    <w:basedOn w:val="a0"/>
    <w:uiPriority w:val="22"/>
    <w:qFormat/>
    <w:rsid w:val="006C5CC5"/>
    <w:rPr>
      <w:b/>
      <w:bCs/>
    </w:rPr>
  </w:style>
  <w:style w:type="paragraph" w:styleId="ae">
    <w:name w:val="annotation subject"/>
    <w:basedOn w:val="a3"/>
    <w:next w:val="a3"/>
    <w:link w:val="af"/>
    <w:uiPriority w:val="99"/>
    <w:semiHidden/>
    <w:unhideWhenUsed/>
    <w:rsid w:val="00D8327E"/>
    <w:rPr>
      <w:b/>
      <w:bCs/>
    </w:rPr>
  </w:style>
  <w:style w:type="character" w:customStyle="1" w:styleId="af">
    <w:name w:val="批注主题 字符"/>
    <w:basedOn w:val="a4"/>
    <w:link w:val="ae"/>
    <w:uiPriority w:val="99"/>
    <w:semiHidden/>
    <w:rsid w:val="00D8327E"/>
    <w:rPr>
      <w:rFonts w:ascii="Times New Roman" w:eastAsia="宋体" w:hAnsi="Times New Roman" w:cs="Times New Roman"/>
      <w:b/>
      <w:bCs/>
      <w:kern w:val="2"/>
      <w:sz w:val="21"/>
      <w:szCs w:val="24"/>
    </w:rPr>
  </w:style>
  <w:style w:type="paragraph" w:styleId="af0">
    <w:name w:val="Revision"/>
    <w:hidden/>
    <w:uiPriority w:val="99"/>
    <w:semiHidden/>
    <w:rsid w:val="00D8327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4619">
      <w:bodyDiv w:val="1"/>
      <w:marLeft w:val="0"/>
      <w:marRight w:val="0"/>
      <w:marTop w:val="0"/>
      <w:marBottom w:val="0"/>
      <w:divBdr>
        <w:top w:val="none" w:sz="0" w:space="0" w:color="auto"/>
        <w:left w:val="none" w:sz="0" w:space="0" w:color="auto"/>
        <w:bottom w:val="none" w:sz="0" w:space="0" w:color="auto"/>
        <w:right w:val="none" w:sz="0" w:space="0" w:color="auto"/>
      </w:divBdr>
    </w:div>
    <w:div w:id="87827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3158D-6107-4A24-94CE-B0FBC7DE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dell-zhaoying</cp:lastModifiedBy>
  <cp:revision>6</cp:revision>
  <dcterms:created xsi:type="dcterms:W3CDTF">2020-06-29T02:41:00Z</dcterms:created>
  <dcterms:modified xsi:type="dcterms:W3CDTF">2020-07-07T08:06:00Z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