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31" w:rsidRDefault="00216083">
      <w:pPr>
        <w:spacing w:line="360" w:lineRule="auto"/>
        <w:ind w:firstLineChars="200" w:firstLine="643"/>
        <w:rPr>
          <w:rFonts w:asciiTheme="minorEastAsia" w:hAnsiTheme="minorEastAsia" w:cs="Times New Roman"/>
          <w:b/>
          <w:sz w:val="32"/>
        </w:rPr>
      </w:pPr>
      <w:r>
        <w:rPr>
          <w:rFonts w:asciiTheme="minorEastAsia" w:hAnsiTheme="minorEastAsia" w:cs="Times New Roman" w:hint="eastAsia"/>
          <w:b/>
          <w:sz w:val="32"/>
        </w:rPr>
        <w:t>南京大学数学系数学学科博士生培养方案（2020年修订）</w:t>
      </w:r>
    </w:p>
    <w:p w:rsidR="004F6F31" w:rsidRDefault="00216083">
      <w:pPr>
        <w:spacing w:line="360" w:lineRule="auto"/>
        <w:ind w:firstLineChars="200" w:firstLine="480"/>
        <w:rPr>
          <w:rFonts w:asciiTheme="minorEastAsia" w:hAnsiTheme="minorEastAsia" w:cs="Times New Roman"/>
          <w:sz w:val="24"/>
        </w:rPr>
      </w:pPr>
      <w:r>
        <w:rPr>
          <w:rFonts w:asciiTheme="minorEastAsia" w:hAnsiTheme="minorEastAsia" w:cs="Times New Roman" w:hint="eastAsia"/>
          <w:sz w:val="24"/>
        </w:rPr>
        <w:t>一、培养目标</w:t>
      </w:r>
    </w:p>
    <w:p w:rsidR="004F6F31" w:rsidRPr="0032043F" w:rsidRDefault="00216083">
      <w:pPr>
        <w:spacing w:line="360" w:lineRule="auto"/>
        <w:ind w:firstLineChars="200" w:firstLine="480"/>
        <w:rPr>
          <w:rFonts w:asciiTheme="minorEastAsia" w:hAnsiTheme="minorEastAsia" w:cs="Times New Roman"/>
          <w:color w:val="000000" w:themeColor="text1"/>
          <w:sz w:val="24"/>
        </w:rPr>
      </w:pPr>
      <w:r w:rsidRPr="00CB4309">
        <w:rPr>
          <w:rFonts w:asciiTheme="minorEastAsia" w:hAnsiTheme="minorEastAsia" w:cs="Times New Roman" w:hint="eastAsia"/>
          <w:color w:val="FF0000"/>
          <w:sz w:val="24"/>
        </w:rPr>
        <w:t>本学科的培养目标是培养博士生成为</w:t>
      </w:r>
      <w:r w:rsidRPr="0032043F">
        <w:rPr>
          <w:rFonts w:asciiTheme="minorEastAsia" w:hAnsiTheme="minorEastAsia" w:cs="Times New Roman" w:hint="eastAsia"/>
          <w:color w:val="000000" w:themeColor="text1"/>
          <w:sz w:val="24"/>
        </w:rPr>
        <w:t>德、智、体、美、劳全面发展的</w:t>
      </w:r>
      <w:r w:rsidRPr="0032043F">
        <w:rPr>
          <w:rFonts w:asciiTheme="minorEastAsia" w:hAnsiTheme="minorEastAsia" w:hint="eastAsia"/>
          <w:color w:val="000000" w:themeColor="text1"/>
          <w:sz w:val="24"/>
        </w:rPr>
        <w:t>新时代中国特色社会主义建设者和接班人</w:t>
      </w:r>
      <w:r w:rsidRPr="0032043F">
        <w:rPr>
          <w:rFonts w:asciiTheme="minorEastAsia" w:hAnsiTheme="minorEastAsia" w:cs="Times New Roman" w:hint="eastAsia"/>
          <w:color w:val="000000" w:themeColor="text1"/>
          <w:sz w:val="24"/>
        </w:rPr>
        <w:t>。具体要求如下：</w:t>
      </w:r>
    </w:p>
    <w:p w:rsidR="004F6F31" w:rsidRPr="0032043F" w:rsidRDefault="00216083">
      <w:pPr>
        <w:pStyle w:val="Default"/>
        <w:spacing w:line="360" w:lineRule="auto"/>
        <w:ind w:firstLineChars="200" w:firstLine="480"/>
        <w:rPr>
          <w:rFonts w:asciiTheme="minorEastAsia" w:eastAsiaTheme="minorEastAsia" w:hAnsiTheme="minorEastAsia" w:cs="Times New Roman"/>
          <w:color w:val="000000" w:themeColor="text1"/>
        </w:rPr>
      </w:pPr>
      <w:r w:rsidRPr="0032043F">
        <w:rPr>
          <w:rFonts w:asciiTheme="minorEastAsia" w:eastAsiaTheme="minorEastAsia" w:hAnsiTheme="minorEastAsia" w:hint="eastAsia"/>
          <w:color w:val="000000" w:themeColor="text1"/>
        </w:rPr>
        <w:t>（1）进一步学习和掌握马克思列宁主义</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毛泽东思想</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邓小平理论</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cs="仿宋"/>
          <w:color w:val="000000" w:themeColor="text1"/>
        </w:rPr>
        <w:t>“</w:t>
      </w:r>
      <w:r w:rsidRPr="0032043F">
        <w:rPr>
          <w:rFonts w:asciiTheme="minorEastAsia" w:eastAsiaTheme="minorEastAsia" w:hAnsiTheme="minorEastAsia" w:hint="eastAsia"/>
          <w:color w:val="000000" w:themeColor="text1"/>
        </w:rPr>
        <w:t>三个代表</w:t>
      </w:r>
      <w:r w:rsidRPr="0032043F">
        <w:rPr>
          <w:rFonts w:asciiTheme="minorEastAsia" w:eastAsiaTheme="minorEastAsia" w:hAnsiTheme="minorEastAsia" w:cs="仿宋"/>
          <w:color w:val="000000" w:themeColor="text1"/>
        </w:rPr>
        <w:t>”</w:t>
      </w:r>
      <w:r w:rsidRPr="0032043F">
        <w:rPr>
          <w:rFonts w:asciiTheme="minorEastAsia" w:eastAsiaTheme="minorEastAsia" w:hAnsiTheme="minorEastAsia" w:hint="eastAsia"/>
          <w:color w:val="000000" w:themeColor="text1"/>
        </w:rPr>
        <w:t>重要思想</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科学发展观</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习近平新时代中国特色社会主义思想的基本理论</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坚持四项基本原则</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热爱祖国</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遵纪守法</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诚信公正</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学风严谨</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有家国情怀和社会责任感</w:t>
      </w:r>
      <w:r w:rsidRPr="0032043F">
        <w:rPr>
          <w:rFonts w:asciiTheme="minorEastAsia" w:eastAsiaTheme="minorEastAsia" w:hAnsiTheme="minorEastAsia" w:cs="仿宋" w:hint="eastAsia"/>
          <w:color w:val="000000" w:themeColor="text1"/>
        </w:rPr>
        <w:t>。</w:t>
      </w:r>
    </w:p>
    <w:p w:rsidR="004F6F31" w:rsidRPr="0032043F" w:rsidRDefault="00216083">
      <w:pPr>
        <w:spacing w:line="360" w:lineRule="auto"/>
        <w:ind w:firstLineChars="200" w:firstLine="480"/>
        <w:rPr>
          <w:color w:val="000000" w:themeColor="text1"/>
          <w:sz w:val="24"/>
        </w:rPr>
      </w:pPr>
      <w:r w:rsidRPr="0032043F">
        <w:rPr>
          <w:rFonts w:asciiTheme="minorEastAsia" w:hAnsiTheme="minorEastAsia" w:cs="Times New Roman" w:hint="eastAsia"/>
          <w:color w:val="000000" w:themeColor="text1"/>
          <w:sz w:val="24"/>
        </w:rPr>
        <w:t>（2）在基础数学、计算数学、概率论与数理统计、应用数学、运筹学与控制论等领域具有坚实宽广的专业理论基础；</w:t>
      </w:r>
      <w:r w:rsidRPr="0032043F">
        <w:rPr>
          <w:rFonts w:hint="eastAsia"/>
          <w:color w:val="000000" w:themeColor="text1"/>
          <w:sz w:val="24"/>
        </w:rPr>
        <w:t>熟练地掌握至少一门外国语；具有独立从事学术研究工作的能力；在所在学科领域做出创造性的成果。</w:t>
      </w:r>
    </w:p>
    <w:p w:rsidR="004F6F31" w:rsidRPr="0032043F" w:rsidRDefault="00216083">
      <w:pPr>
        <w:spacing w:line="360" w:lineRule="auto"/>
        <w:ind w:firstLineChars="200" w:firstLine="480"/>
        <w:rPr>
          <w:rFonts w:asciiTheme="minorEastAsia" w:hAnsiTheme="minorEastAsia" w:cs="Times New Roman"/>
          <w:color w:val="000000" w:themeColor="text1"/>
          <w:sz w:val="24"/>
        </w:rPr>
      </w:pPr>
      <w:r w:rsidRPr="0032043F">
        <w:rPr>
          <w:rFonts w:hint="eastAsia"/>
          <w:color w:val="000000" w:themeColor="text1"/>
          <w:sz w:val="24"/>
        </w:rPr>
        <w:t>（</w:t>
      </w:r>
      <w:r w:rsidRPr="0032043F">
        <w:rPr>
          <w:rFonts w:asciiTheme="minorEastAsia" w:hAnsiTheme="minorEastAsia" w:hint="eastAsia"/>
          <w:color w:val="000000" w:themeColor="text1"/>
          <w:sz w:val="24"/>
        </w:rPr>
        <w:t>3</w:t>
      </w:r>
      <w:r w:rsidRPr="0032043F">
        <w:rPr>
          <w:rFonts w:hint="eastAsia"/>
          <w:color w:val="000000" w:themeColor="text1"/>
          <w:sz w:val="24"/>
        </w:rPr>
        <w:t>）身心健康，具有优秀的综合素养，</w:t>
      </w:r>
      <w:r w:rsidRPr="0032043F">
        <w:rPr>
          <w:rFonts w:asciiTheme="minorEastAsia" w:hAnsiTheme="minorEastAsia" w:cs="Times New Roman" w:hint="eastAsia"/>
          <w:color w:val="000000" w:themeColor="text1"/>
          <w:sz w:val="24"/>
        </w:rPr>
        <w:t>有能力承担高等院校、科研机构的教学、科研工作，或企事业单位的研发和管理工作，成为满足国家需求的高层次人才。</w:t>
      </w:r>
    </w:p>
    <w:p w:rsidR="004F6F31" w:rsidRPr="0032043F" w:rsidRDefault="00216083">
      <w:pPr>
        <w:spacing w:line="360" w:lineRule="auto"/>
        <w:ind w:firstLineChars="200" w:firstLine="480"/>
        <w:rPr>
          <w:rFonts w:asciiTheme="minorEastAsia" w:hAnsiTheme="minorEastAsia" w:cs="Times New Roman"/>
          <w:color w:val="000000" w:themeColor="text1"/>
          <w:sz w:val="24"/>
        </w:rPr>
      </w:pPr>
      <w:r w:rsidRPr="0032043F">
        <w:rPr>
          <w:rFonts w:asciiTheme="minorEastAsia" w:hAnsiTheme="minorEastAsia" w:cs="Times New Roman" w:hint="eastAsia"/>
          <w:color w:val="000000" w:themeColor="text1"/>
          <w:sz w:val="24"/>
        </w:rPr>
        <w:t>二、修业年限</w:t>
      </w:r>
    </w:p>
    <w:p w:rsidR="004F6F31" w:rsidRPr="0032043F" w:rsidRDefault="00216083">
      <w:pPr>
        <w:spacing w:line="360" w:lineRule="auto"/>
        <w:ind w:firstLineChars="200" w:firstLine="480"/>
        <w:rPr>
          <w:rFonts w:asciiTheme="minorEastAsia" w:hAnsiTheme="minorEastAsia" w:cs="Times New Roman"/>
          <w:color w:val="000000" w:themeColor="text1"/>
          <w:sz w:val="24"/>
        </w:rPr>
      </w:pPr>
      <w:r w:rsidRPr="0032043F">
        <w:rPr>
          <w:rFonts w:asciiTheme="minorEastAsia" w:hAnsiTheme="minorEastAsia" w:cs="Times New Roman" w:hint="eastAsia"/>
          <w:color w:val="000000" w:themeColor="text1"/>
          <w:sz w:val="24"/>
        </w:rPr>
        <w:t>直博生:基本修业年限五年，最长修业年限八年。</w:t>
      </w:r>
    </w:p>
    <w:p w:rsidR="004F6F31" w:rsidRPr="0032043F" w:rsidRDefault="00216083">
      <w:pPr>
        <w:spacing w:line="360" w:lineRule="auto"/>
        <w:ind w:firstLineChars="200" w:firstLine="480"/>
        <w:rPr>
          <w:rFonts w:asciiTheme="minorEastAsia" w:hAnsiTheme="minorEastAsia" w:cs="Times New Roman"/>
          <w:color w:val="000000" w:themeColor="text1"/>
          <w:sz w:val="24"/>
        </w:rPr>
      </w:pPr>
      <w:r w:rsidRPr="0032043F">
        <w:rPr>
          <w:rFonts w:asciiTheme="minorEastAsia" w:hAnsiTheme="minorEastAsia" w:cs="Times New Roman" w:hint="eastAsia"/>
          <w:color w:val="000000" w:themeColor="text1"/>
          <w:sz w:val="24"/>
        </w:rPr>
        <w:t>普通博士研究生: 基本修业年限四年，最长修业年限八年。</w:t>
      </w:r>
    </w:p>
    <w:p w:rsidR="004F6F31" w:rsidRPr="0032043F" w:rsidRDefault="00216083">
      <w:pPr>
        <w:spacing w:line="360" w:lineRule="auto"/>
        <w:ind w:firstLineChars="200" w:firstLine="480"/>
        <w:rPr>
          <w:rFonts w:asciiTheme="minorEastAsia" w:hAnsiTheme="minorEastAsia" w:cs="Times New Roman"/>
          <w:color w:val="000000" w:themeColor="text1"/>
          <w:sz w:val="24"/>
        </w:rPr>
      </w:pPr>
      <w:r w:rsidRPr="0032043F">
        <w:rPr>
          <w:rFonts w:asciiTheme="minorEastAsia" w:hAnsiTheme="minorEastAsia" w:cs="Times New Roman" w:hint="eastAsia"/>
          <w:color w:val="000000" w:themeColor="text1"/>
          <w:sz w:val="24"/>
        </w:rPr>
        <w:t>三、培养方式</w:t>
      </w:r>
    </w:p>
    <w:p w:rsidR="004F6F31" w:rsidRPr="0032043F" w:rsidRDefault="00216083">
      <w:pPr>
        <w:spacing w:line="360" w:lineRule="auto"/>
        <w:ind w:firstLineChars="200" w:firstLine="480"/>
        <w:rPr>
          <w:rFonts w:asciiTheme="minorEastAsia" w:hAnsiTheme="minorEastAsia" w:cs="Times New Roman"/>
          <w:color w:val="000000" w:themeColor="text1"/>
          <w:sz w:val="24"/>
        </w:rPr>
      </w:pPr>
      <w:r w:rsidRPr="0032043F">
        <w:rPr>
          <w:rFonts w:asciiTheme="minorEastAsia" w:hAnsiTheme="minorEastAsia" w:cs="Times New Roman" w:hint="eastAsia"/>
          <w:color w:val="000000" w:themeColor="text1"/>
          <w:sz w:val="24"/>
        </w:rPr>
        <w:t>博士生的培养以学术研究工作为主、课程学习为辅。重点培养博士生独立从事学术研究工作的能力，并使学生通过完成一定门数的课程学习，系统掌握所在学科领域的理论和方法，拓宽知识面，提高分析问题和解决问题的能力。</w:t>
      </w:r>
    </w:p>
    <w:p w:rsidR="004F6F31" w:rsidRPr="0032043F" w:rsidRDefault="00216083">
      <w:pPr>
        <w:spacing w:line="360" w:lineRule="auto"/>
        <w:ind w:firstLineChars="200" w:firstLine="480"/>
        <w:rPr>
          <w:rFonts w:asciiTheme="minorEastAsia" w:hAnsiTheme="minorEastAsia" w:cs="Times New Roman"/>
          <w:color w:val="000000" w:themeColor="text1"/>
          <w:sz w:val="24"/>
        </w:rPr>
      </w:pPr>
      <w:r w:rsidRPr="0032043F">
        <w:rPr>
          <w:rFonts w:asciiTheme="minorEastAsia" w:hAnsiTheme="minorEastAsia" w:hint="eastAsia"/>
          <w:color w:val="000000" w:themeColor="text1"/>
          <w:sz w:val="24"/>
        </w:rPr>
        <w:t>博士生的培养工作由指导教师负责，并实行指导教师个别指导或者指导教师负责与指导小组集体培养相结合的指导方式。</w:t>
      </w:r>
      <w:r w:rsidRPr="0032043F">
        <w:rPr>
          <w:rFonts w:asciiTheme="minorEastAsia" w:hAnsiTheme="minorEastAsia" w:cs="Times New Roman" w:hint="eastAsia"/>
          <w:color w:val="000000" w:themeColor="text1"/>
          <w:sz w:val="24"/>
        </w:rPr>
        <w:t>博士生在报考时明确指导教师，入学后由导师负责组织、成立指导小组，制定培养计划。</w:t>
      </w:r>
    </w:p>
    <w:p w:rsidR="004F6F31" w:rsidRPr="0032043F" w:rsidRDefault="00216083">
      <w:pPr>
        <w:spacing w:line="360" w:lineRule="auto"/>
        <w:ind w:firstLineChars="200" w:firstLine="480"/>
        <w:rPr>
          <w:rFonts w:asciiTheme="minorEastAsia" w:hAnsiTheme="minorEastAsia" w:cs="Times New Roman"/>
          <w:color w:val="000000" w:themeColor="text1"/>
          <w:sz w:val="24"/>
        </w:rPr>
      </w:pPr>
      <w:r w:rsidRPr="0032043F">
        <w:rPr>
          <w:rFonts w:asciiTheme="minorEastAsia" w:hAnsiTheme="minorEastAsia" w:cs="Times New Roman" w:hint="eastAsia"/>
          <w:color w:val="000000" w:themeColor="text1"/>
          <w:sz w:val="24"/>
        </w:rPr>
        <w:t>博士生导师是研究生培养第一责任人。博士生在导师指导下须修读2-4门专业学位课程，其中导师讲授课程仅限1门（直博生课程要求详见第四条“课程设置”）。指导教师应安排博士生参加讨论班并作报告，鼓励他们听取本方向和相关方向的学术讲座和学术报告。博士生应具有良好的学术品德，在导师指导下选择学科前沿课题或有重要应用价值的课题进行研究，做出创造性的成果。鼓励博士</w:t>
      </w:r>
      <w:r w:rsidRPr="0032043F">
        <w:rPr>
          <w:rFonts w:asciiTheme="minorEastAsia" w:hAnsiTheme="minorEastAsia" w:cs="Times New Roman" w:hint="eastAsia"/>
          <w:color w:val="000000" w:themeColor="text1"/>
          <w:sz w:val="24"/>
        </w:rPr>
        <w:lastRenderedPageBreak/>
        <w:t>生在高水平的学术刊物上发表研究成果。</w:t>
      </w:r>
    </w:p>
    <w:p w:rsidR="004F6F31" w:rsidRPr="0032043F" w:rsidRDefault="00216083">
      <w:pPr>
        <w:spacing w:line="360" w:lineRule="auto"/>
        <w:ind w:firstLineChars="200" w:firstLine="480"/>
        <w:rPr>
          <w:rFonts w:asciiTheme="minorEastAsia" w:hAnsiTheme="minorEastAsia" w:cs="Times New Roman"/>
          <w:color w:val="000000" w:themeColor="text1"/>
          <w:sz w:val="24"/>
        </w:rPr>
      </w:pPr>
      <w:r w:rsidRPr="0032043F">
        <w:rPr>
          <w:rFonts w:asciiTheme="minorEastAsia" w:hAnsiTheme="minorEastAsia" w:cs="Times New Roman" w:hint="eastAsia"/>
          <w:color w:val="000000" w:themeColor="text1"/>
          <w:sz w:val="24"/>
        </w:rPr>
        <w:t>四、课程设置</w:t>
      </w:r>
    </w:p>
    <w:p w:rsidR="004F6F31" w:rsidRPr="0032043F" w:rsidRDefault="00216083">
      <w:pPr>
        <w:spacing w:line="360" w:lineRule="auto"/>
        <w:ind w:firstLineChars="200" w:firstLine="480"/>
        <w:rPr>
          <w:rFonts w:asciiTheme="minorEastAsia" w:hAnsiTheme="minorEastAsia" w:cs="Times New Roman"/>
          <w:color w:val="000000" w:themeColor="text1"/>
          <w:sz w:val="24"/>
        </w:rPr>
      </w:pPr>
      <w:r w:rsidRPr="0032043F">
        <w:rPr>
          <w:rFonts w:asciiTheme="minorEastAsia" w:hAnsiTheme="minorEastAsia" w:cs="Times New Roman" w:hint="eastAsia"/>
          <w:color w:val="000000" w:themeColor="text1"/>
          <w:sz w:val="24"/>
        </w:rPr>
        <w:t>专业学位课：</w:t>
      </w:r>
    </w:p>
    <w:tbl>
      <w:tblPr>
        <w:tblW w:w="5500" w:type="dxa"/>
        <w:tblInd w:w="108" w:type="dxa"/>
        <w:tblLook w:val="04A0"/>
      </w:tblPr>
      <w:tblGrid>
        <w:gridCol w:w="1020"/>
        <w:gridCol w:w="1161"/>
        <w:gridCol w:w="2440"/>
        <w:gridCol w:w="1020"/>
      </w:tblGrid>
      <w:tr w:rsidR="004F6F31" w:rsidRPr="0032043F">
        <w:trPr>
          <w:trHeight w:val="285"/>
        </w:trPr>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b/>
                <w:bCs/>
                <w:color w:val="000000" w:themeColor="text1"/>
                <w:kern w:val="0"/>
                <w:szCs w:val="21"/>
              </w:rPr>
            </w:pPr>
            <w:r w:rsidRPr="0032043F">
              <w:rPr>
                <w:rFonts w:ascii="宋体" w:eastAsia="宋体" w:hAnsi="宋体" w:cs="宋体" w:hint="eastAsia"/>
                <w:b/>
                <w:bCs/>
                <w:color w:val="000000" w:themeColor="text1"/>
                <w:kern w:val="0"/>
                <w:szCs w:val="21"/>
              </w:rPr>
              <w:t>序号</w:t>
            </w:r>
          </w:p>
        </w:tc>
        <w:tc>
          <w:tcPr>
            <w:tcW w:w="1020" w:type="dxa"/>
            <w:tcBorders>
              <w:top w:val="single" w:sz="8" w:space="0" w:color="auto"/>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b/>
                <w:bCs/>
                <w:color w:val="000000" w:themeColor="text1"/>
                <w:kern w:val="0"/>
                <w:szCs w:val="21"/>
              </w:rPr>
            </w:pPr>
            <w:r w:rsidRPr="0032043F">
              <w:rPr>
                <w:rFonts w:ascii="宋体" w:eastAsia="宋体" w:hAnsi="宋体" w:cs="宋体" w:hint="eastAsia"/>
                <w:b/>
                <w:bCs/>
                <w:color w:val="000000" w:themeColor="text1"/>
                <w:kern w:val="0"/>
                <w:szCs w:val="21"/>
              </w:rPr>
              <w:t>课程编号</w:t>
            </w:r>
          </w:p>
        </w:tc>
        <w:tc>
          <w:tcPr>
            <w:tcW w:w="2440" w:type="dxa"/>
            <w:tcBorders>
              <w:top w:val="single" w:sz="8" w:space="0" w:color="auto"/>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b/>
                <w:bCs/>
                <w:color w:val="000000" w:themeColor="text1"/>
                <w:kern w:val="0"/>
                <w:szCs w:val="21"/>
              </w:rPr>
            </w:pPr>
            <w:r w:rsidRPr="0032043F">
              <w:rPr>
                <w:rFonts w:ascii="宋体" w:eastAsia="宋体" w:hAnsi="宋体" w:cs="宋体" w:hint="eastAsia"/>
                <w:b/>
                <w:bCs/>
                <w:color w:val="000000" w:themeColor="text1"/>
                <w:kern w:val="0"/>
                <w:szCs w:val="21"/>
              </w:rPr>
              <w:t>课程名称</w:t>
            </w:r>
          </w:p>
        </w:tc>
        <w:tc>
          <w:tcPr>
            <w:tcW w:w="1020" w:type="dxa"/>
            <w:tcBorders>
              <w:top w:val="single" w:sz="8" w:space="0" w:color="auto"/>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b/>
                <w:bCs/>
                <w:color w:val="000000" w:themeColor="text1"/>
                <w:kern w:val="0"/>
                <w:szCs w:val="21"/>
              </w:rPr>
            </w:pPr>
            <w:r w:rsidRPr="0032043F">
              <w:rPr>
                <w:rFonts w:ascii="宋体" w:eastAsia="宋体" w:hAnsi="宋体" w:cs="宋体" w:hint="eastAsia"/>
                <w:b/>
                <w:bCs/>
                <w:color w:val="000000" w:themeColor="text1"/>
                <w:kern w:val="0"/>
                <w:szCs w:val="21"/>
              </w:rPr>
              <w:t>开课学期</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1</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0701B01</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现代分析</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2</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0701B02</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基础代数</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3</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070101C01</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代数拓扑</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4</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070101C02</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微分拓扑</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5</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070101C03</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流形与几何</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6</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070101C04</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同调代数</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7</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070101C05</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紧黎曼曲面</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8</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070101C07</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代数几何</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9</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070101C08</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交换代数</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10</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070101C09</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代数数论</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11</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070102C01</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线性与非线性规划</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12</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070102C02</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多元迭代分析</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13</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070102C03</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数值代数</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14</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070102C04</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偏微分方程数值方法</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15</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070103C01</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概率论</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16</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070103C02</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随机过程</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17</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070103C03</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数理统计（续）</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18</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070104C01</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分析学Ⅱ</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19</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070104C02</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调和分析</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20</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070104C03</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偏微分方程</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21</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070104C04</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动力系统</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22</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0701D01</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代数学Ⅱ</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23</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0701D03</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基础数论</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24</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0701D06</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组合数学</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r w:rsidRPr="0032043F">
              <w:rPr>
                <w:rFonts w:ascii="Calibri" w:eastAsia="宋体" w:hAnsi="Calibri" w:cs="Calibri"/>
                <w:color w:val="000000" w:themeColor="text1"/>
                <w:kern w:val="0"/>
                <w:szCs w:val="21"/>
              </w:rPr>
              <w:t>/</w:t>
            </w: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25</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0701D07</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复分析</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r w:rsidRPr="0032043F">
              <w:rPr>
                <w:rFonts w:ascii="Calibri" w:eastAsia="宋体" w:hAnsi="Calibri" w:cs="Calibri"/>
                <w:color w:val="000000" w:themeColor="text1"/>
                <w:kern w:val="0"/>
                <w:szCs w:val="21"/>
              </w:rPr>
              <w:t>/</w:t>
            </w: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26</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0701D08</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导出范畴</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r w:rsidRPr="0032043F">
              <w:rPr>
                <w:rFonts w:ascii="Calibri" w:eastAsia="宋体" w:hAnsi="Calibri" w:cs="Calibri"/>
                <w:color w:val="000000" w:themeColor="text1"/>
                <w:kern w:val="0"/>
                <w:szCs w:val="21"/>
              </w:rPr>
              <w:t>/</w:t>
            </w: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27</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0701D11</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黎曼几何初步</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r w:rsidRPr="0032043F">
              <w:rPr>
                <w:rFonts w:ascii="Calibri" w:eastAsia="宋体" w:hAnsi="Calibri" w:cs="Calibri"/>
                <w:color w:val="000000" w:themeColor="text1"/>
                <w:kern w:val="0"/>
                <w:szCs w:val="21"/>
              </w:rPr>
              <w:t>/</w:t>
            </w: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28</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0701D13</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随机微分方程</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29</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0701D15</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有限元方法</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30</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0701D16</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常微分方程数值分析</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31</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070101D09</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变分理论</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32</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070101D12</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数理逻辑基础</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33</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070101D15</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数理逻辑</w:t>
            </w:r>
            <w:r w:rsidRPr="0032043F">
              <w:rPr>
                <w:rFonts w:ascii="Calibri" w:eastAsia="宋体" w:hAnsi="Calibri" w:cs="Calibri"/>
                <w:color w:val="000000" w:themeColor="text1"/>
                <w:kern w:val="0"/>
                <w:szCs w:val="21"/>
              </w:rPr>
              <w:t>II</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34</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070101D16</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代数几何</w:t>
            </w:r>
            <w:r w:rsidRPr="0032043F">
              <w:rPr>
                <w:rFonts w:ascii="Calibri" w:eastAsia="宋体" w:hAnsi="Calibri" w:cs="Calibri"/>
                <w:color w:val="000000" w:themeColor="text1"/>
                <w:kern w:val="0"/>
                <w:szCs w:val="21"/>
              </w:rPr>
              <w:t>II</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35</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070101D17</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遍历理论</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36</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070101D18</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量子群</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37</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070101D19</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分形上的分析</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38</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070101D20</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双曲型偏微分方程</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39</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070101D21</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箭图表示</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40</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070101D22</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多复变与复几何初步</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41</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070101D23</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平展上同调</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42</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070101D24</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刚性解析几何引论</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r w:rsidRPr="0032043F">
              <w:rPr>
                <w:rFonts w:ascii="Calibri" w:eastAsia="宋体" w:hAnsi="Calibri" w:cs="Calibri"/>
                <w:color w:val="000000" w:themeColor="text1"/>
                <w:kern w:val="0"/>
                <w:szCs w:val="21"/>
              </w:rPr>
              <w:t>/</w:t>
            </w: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43</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070101D25</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函数域的算术</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r w:rsidRPr="0032043F">
              <w:rPr>
                <w:rFonts w:ascii="Calibri" w:eastAsia="宋体" w:hAnsi="Calibri" w:cs="Calibri"/>
                <w:color w:val="000000" w:themeColor="text1"/>
                <w:kern w:val="0"/>
                <w:szCs w:val="21"/>
              </w:rPr>
              <w:t>/</w:t>
            </w: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44</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070101D27</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类域论</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45</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070101D28</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模形式导引</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46</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070101D29</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形变理论与霍奇理论</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47</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070101D30</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有限维代数的表示理论</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48</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070101D31</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几何分析</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49</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070101D33</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三角范畴与微分分次范畴</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50</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070101D34</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代数拓扑中的微分形式</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51</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070101D35</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复动力系统</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52</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070101D36</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局部紧群的表示</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53</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070101D39</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李群和李代数</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54</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070101D70</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张量范畴</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55</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070102D10</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数值最优化</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56</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070103D08</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统计分析与软件应用</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57</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070104D16</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变分法与最优控制和偏微分方程</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r w:rsidRPr="0032043F">
              <w:rPr>
                <w:rFonts w:ascii="Calibri" w:eastAsia="宋体" w:hAnsi="Calibri" w:cs="Calibri"/>
                <w:color w:val="000000" w:themeColor="text1"/>
                <w:kern w:val="0"/>
                <w:szCs w:val="21"/>
              </w:rPr>
              <w:t>/</w:t>
            </w: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58</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070104D17</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拓扑动力系统</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秋</w:t>
            </w:r>
          </w:p>
        </w:tc>
      </w:tr>
      <w:tr w:rsidR="004F6F31" w:rsidRPr="0032043F">
        <w:trPr>
          <w:trHeight w:val="285"/>
        </w:trPr>
        <w:tc>
          <w:tcPr>
            <w:tcW w:w="1020" w:type="dxa"/>
            <w:tcBorders>
              <w:top w:val="nil"/>
              <w:left w:val="single" w:sz="8" w:space="0" w:color="auto"/>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59</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070105D07</w:t>
            </w:r>
          </w:p>
        </w:tc>
        <w:tc>
          <w:tcPr>
            <w:tcW w:w="244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数学优化：理论与方法</w:t>
            </w:r>
          </w:p>
        </w:tc>
        <w:tc>
          <w:tcPr>
            <w:tcW w:w="1020" w:type="dxa"/>
            <w:tcBorders>
              <w:top w:val="nil"/>
              <w:left w:val="nil"/>
              <w:bottom w:val="single" w:sz="8" w:space="0" w:color="auto"/>
              <w:right w:val="single" w:sz="8" w:space="0" w:color="auto"/>
            </w:tcBorders>
            <w:shd w:val="clear" w:color="auto" w:fill="auto"/>
            <w:noWrap/>
            <w:vAlign w:val="center"/>
          </w:tcPr>
          <w:p w:rsidR="004F6F31" w:rsidRPr="0032043F" w:rsidRDefault="00216083">
            <w:pPr>
              <w:widowControl/>
              <w:jc w:val="center"/>
              <w:rPr>
                <w:rFonts w:ascii="宋体" w:eastAsia="宋体" w:hAnsi="宋体" w:cs="宋体"/>
                <w:color w:val="000000" w:themeColor="text1"/>
                <w:kern w:val="0"/>
                <w:szCs w:val="21"/>
              </w:rPr>
            </w:pPr>
            <w:r w:rsidRPr="0032043F">
              <w:rPr>
                <w:rFonts w:ascii="宋体" w:eastAsia="宋体" w:hAnsi="宋体" w:cs="宋体" w:hint="eastAsia"/>
                <w:color w:val="000000" w:themeColor="text1"/>
                <w:kern w:val="0"/>
                <w:szCs w:val="21"/>
              </w:rPr>
              <w:t>春</w:t>
            </w:r>
          </w:p>
        </w:tc>
      </w:tr>
    </w:tbl>
    <w:p w:rsidR="004F6F31" w:rsidRPr="0032043F" w:rsidRDefault="004F6F31">
      <w:pPr>
        <w:spacing w:line="360" w:lineRule="auto"/>
        <w:ind w:firstLineChars="200" w:firstLine="480"/>
        <w:rPr>
          <w:rFonts w:asciiTheme="minorEastAsia" w:hAnsiTheme="minorEastAsia" w:cs="Times New Roman"/>
          <w:color w:val="000000" w:themeColor="text1"/>
          <w:sz w:val="24"/>
        </w:rPr>
      </w:pPr>
    </w:p>
    <w:p w:rsidR="004F6F31" w:rsidRPr="0032043F" w:rsidRDefault="00216083">
      <w:pPr>
        <w:spacing w:line="360" w:lineRule="auto"/>
        <w:ind w:firstLineChars="200" w:firstLine="480"/>
        <w:rPr>
          <w:rFonts w:asciiTheme="minorEastAsia" w:hAnsiTheme="minorEastAsia" w:cs="Times New Roman"/>
          <w:color w:val="000000" w:themeColor="text1"/>
          <w:sz w:val="24"/>
        </w:rPr>
      </w:pPr>
      <w:r w:rsidRPr="0032043F">
        <w:rPr>
          <w:rFonts w:asciiTheme="minorEastAsia" w:hAnsiTheme="minorEastAsia" w:cs="Times New Roman" w:hint="eastAsia"/>
          <w:color w:val="000000" w:themeColor="text1"/>
          <w:sz w:val="24"/>
        </w:rPr>
        <w:t>以上课程设置的指导思想是:各门课程充分体现本学科研究方向发展的新特点和新动态，力求反映其前沿性和交叉性，并保证较宽的学科专业覆盖面，以适应培养高素质、高水平博士生的要求。此外还有各二级学科讨论班课程等。</w:t>
      </w:r>
    </w:p>
    <w:p w:rsidR="004F6F31" w:rsidRPr="0032043F" w:rsidRDefault="00216083">
      <w:pPr>
        <w:spacing w:line="360" w:lineRule="auto"/>
        <w:ind w:firstLineChars="200" w:firstLine="480"/>
        <w:rPr>
          <w:rFonts w:asciiTheme="minorEastAsia" w:hAnsiTheme="minorEastAsia" w:cs="Times New Roman"/>
          <w:color w:val="000000" w:themeColor="text1"/>
          <w:sz w:val="24"/>
        </w:rPr>
      </w:pPr>
      <w:r w:rsidRPr="0032043F">
        <w:rPr>
          <w:rFonts w:asciiTheme="minorEastAsia" w:hAnsiTheme="minorEastAsia" w:cs="Times New Roman" w:hint="eastAsia"/>
          <w:color w:val="000000" w:themeColor="text1"/>
          <w:sz w:val="24"/>
        </w:rPr>
        <w:t>普通博士研究生需修读公共外语、政治理论等学位课程及2-4门专业学位课程，导师讲授的专业学位课程仅限1门。直博生需修读普通博士研究生所修课程、硕士研究生政治理论课程及不低于19个学分的硕士研究生B、C、D类课程，其中B类课程（基础代数、现代分析）必修、C类课程至少修3门、另外需要选修跨二级或一级学科硕士研究生课程至少一门。</w:t>
      </w:r>
    </w:p>
    <w:p w:rsidR="004F6F31" w:rsidRPr="0032043F" w:rsidRDefault="00216083">
      <w:pPr>
        <w:spacing w:line="360" w:lineRule="auto"/>
        <w:ind w:firstLineChars="200" w:firstLine="480"/>
        <w:rPr>
          <w:rFonts w:asciiTheme="minorEastAsia" w:hAnsiTheme="minorEastAsia" w:cs="Times New Roman"/>
          <w:color w:val="000000" w:themeColor="text1"/>
          <w:sz w:val="24"/>
        </w:rPr>
      </w:pPr>
      <w:r w:rsidRPr="0032043F">
        <w:rPr>
          <w:rFonts w:asciiTheme="minorEastAsia" w:hAnsiTheme="minorEastAsia" w:cs="Times New Roman" w:hint="eastAsia"/>
          <w:color w:val="000000" w:themeColor="text1"/>
          <w:sz w:val="24"/>
        </w:rPr>
        <w:t>五、质量监控与学业流程</w:t>
      </w:r>
    </w:p>
    <w:p w:rsidR="004F6F31" w:rsidRPr="0032043F" w:rsidRDefault="00216083">
      <w:pPr>
        <w:spacing w:line="360" w:lineRule="auto"/>
        <w:ind w:firstLineChars="200" w:firstLine="480"/>
        <w:rPr>
          <w:rFonts w:asciiTheme="minorEastAsia" w:hAnsiTheme="minorEastAsia" w:cs="Times New Roman"/>
          <w:color w:val="000000" w:themeColor="text1"/>
          <w:sz w:val="24"/>
        </w:rPr>
      </w:pPr>
      <w:r w:rsidRPr="0032043F">
        <w:rPr>
          <w:rFonts w:asciiTheme="minorEastAsia" w:hAnsiTheme="minorEastAsia" w:cs="Times New Roman" w:hint="eastAsia"/>
          <w:color w:val="000000" w:themeColor="text1"/>
          <w:sz w:val="24"/>
        </w:rPr>
        <w:t>（1）学习计划</w:t>
      </w:r>
    </w:p>
    <w:p w:rsidR="004F6F31" w:rsidRPr="0032043F" w:rsidRDefault="00216083">
      <w:pPr>
        <w:autoSpaceDE w:val="0"/>
        <w:autoSpaceDN w:val="0"/>
        <w:adjustRightInd w:val="0"/>
        <w:spacing w:line="360" w:lineRule="auto"/>
        <w:ind w:firstLineChars="200" w:firstLine="480"/>
        <w:jc w:val="left"/>
        <w:rPr>
          <w:rFonts w:asciiTheme="minorEastAsia" w:hAnsiTheme="minorEastAsia" w:cs="Times New Roman"/>
          <w:color w:val="000000" w:themeColor="text1"/>
          <w:sz w:val="24"/>
        </w:rPr>
      </w:pPr>
      <w:r w:rsidRPr="0032043F">
        <w:rPr>
          <w:rFonts w:asciiTheme="minorEastAsia" w:hAnsiTheme="minorEastAsia" w:cs="宋体" w:hint="eastAsia"/>
          <w:color w:val="000000" w:themeColor="text1"/>
          <w:kern w:val="0"/>
          <w:sz w:val="24"/>
        </w:rPr>
        <w:t>博士生入学后三周内</w:t>
      </w:r>
      <w:r w:rsidRPr="0032043F">
        <w:rPr>
          <w:rFonts w:asciiTheme="minorEastAsia" w:hAnsiTheme="minorEastAsia" w:cs="Malgun Gothic Semilight" w:hint="eastAsia"/>
          <w:color w:val="000000" w:themeColor="text1"/>
          <w:kern w:val="0"/>
          <w:sz w:val="24"/>
        </w:rPr>
        <w:t>，</w:t>
      </w:r>
      <w:r w:rsidRPr="0032043F">
        <w:rPr>
          <w:rFonts w:asciiTheme="minorEastAsia" w:hAnsiTheme="minorEastAsia" w:cs="宋体" w:hint="eastAsia"/>
          <w:color w:val="000000" w:themeColor="text1"/>
          <w:kern w:val="0"/>
          <w:sz w:val="24"/>
        </w:rPr>
        <w:t>应当在指导教师指导下制定课程学习计划。学习计划应包括讨论班课程，</w:t>
      </w:r>
      <w:r w:rsidRPr="0032043F">
        <w:rPr>
          <w:rFonts w:asciiTheme="minorEastAsia" w:hAnsiTheme="minorEastAsia" w:cs="Times New Roman" w:hint="eastAsia"/>
          <w:color w:val="000000" w:themeColor="text1"/>
          <w:sz w:val="24"/>
        </w:rPr>
        <w:t>博士生在学期间应定期参加课题组的讨论班和相关方向的学术报告、学术会议，博士生参加讨论班和学术报告、学术会议的情况由导师负责考核。在执行计划过程中，因特殊情况需要调整的，应当征得指导教师同意。</w:t>
      </w:r>
    </w:p>
    <w:p w:rsidR="004F6F31" w:rsidRPr="0032043F" w:rsidRDefault="00216083">
      <w:pPr>
        <w:autoSpaceDE w:val="0"/>
        <w:autoSpaceDN w:val="0"/>
        <w:adjustRightInd w:val="0"/>
        <w:spacing w:line="360" w:lineRule="auto"/>
        <w:ind w:firstLineChars="200" w:firstLine="480"/>
        <w:jc w:val="left"/>
        <w:rPr>
          <w:rFonts w:asciiTheme="minorEastAsia" w:hAnsiTheme="minorEastAsia" w:cs="Times New Roman"/>
          <w:color w:val="000000" w:themeColor="text1"/>
          <w:sz w:val="24"/>
        </w:rPr>
      </w:pPr>
      <w:r w:rsidRPr="0032043F">
        <w:rPr>
          <w:rFonts w:asciiTheme="minorEastAsia" w:hAnsiTheme="minorEastAsia" w:cs="Times New Roman" w:hint="eastAsia"/>
          <w:color w:val="000000" w:themeColor="text1"/>
          <w:sz w:val="24"/>
        </w:rPr>
        <w:t>（2）教学实践</w:t>
      </w:r>
    </w:p>
    <w:p w:rsidR="004F6F31" w:rsidRPr="0032043F" w:rsidRDefault="00216083">
      <w:pPr>
        <w:autoSpaceDE w:val="0"/>
        <w:autoSpaceDN w:val="0"/>
        <w:adjustRightInd w:val="0"/>
        <w:spacing w:line="360" w:lineRule="auto"/>
        <w:ind w:firstLineChars="200" w:firstLine="480"/>
        <w:jc w:val="left"/>
        <w:rPr>
          <w:rFonts w:asciiTheme="minorEastAsia" w:hAnsiTheme="minorEastAsia" w:cs="Times New Roman"/>
          <w:color w:val="000000" w:themeColor="text1"/>
          <w:sz w:val="24"/>
        </w:rPr>
      </w:pPr>
      <w:r w:rsidRPr="00CB4309">
        <w:rPr>
          <w:rFonts w:asciiTheme="minorEastAsia" w:hAnsiTheme="minorEastAsia" w:cs="Times New Roman" w:hint="eastAsia"/>
          <w:color w:val="FF0000"/>
          <w:sz w:val="24"/>
        </w:rPr>
        <w:t>博士生就读期间应完成不少于两学期的本科生课程助教工作</w:t>
      </w:r>
      <w:r w:rsidRPr="0032043F">
        <w:rPr>
          <w:rFonts w:asciiTheme="minorEastAsia" w:hAnsiTheme="minorEastAsia" w:cs="Times New Roman" w:hint="eastAsia"/>
          <w:color w:val="000000" w:themeColor="text1"/>
          <w:sz w:val="24"/>
        </w:rPr>
        <w:t>，并且考核合格，方可提出毕业和学位申请。</w:t>
      </w:r>
    </w:p>
    <w:p w:rsidR="004F6F31" w:rsidRPr="0032043F" w:rsidRDefault="00216083">
      <w:pPr>
        <w:spacing w:line="360" w:lineRule="auto"/>
        <w:ind w:firstLineChars="200" w:firstLine="480"/>
        <w:rPr>
          <w:rFonts w:asciiTheme="minorEastAsia" w:hAnsiTheme="minorEastAsia" w:cs="Times New Roman"/>
          <w:color w:val="000000" w:themeColor="text1"/>
          <w:sz w:val="24"/>
        </w:rPr>
      </w:pPr>
      <w:r w:rsidRPr="0032043F">
        <w:rPr>
          <w:rFonts w:asciiTheme="minorEastAsia" w:hAnsiTheme="minorEastAsia" w:cs="Times New Roman" w:hint="eastAsia"/>
          <w:color w:val="000000" w:themeColor="text1"/>
          <w:sz w:val="24"/>
        </w:rPr>
        <w:t>（3）资格考核</w:t>
      </w:r>
    </w:p>
    <w:p w:rsidR="004F6F31" w:rsidRPr="0032043F" w:rsidRDefault="00216083">
      <w:pPr>
        <w:spacing w:line="360" w:lineRule="auto"/>
        <w:ind w:firstLineChars="200" w:firstLine="480"/>
        <w:rPr>
          <w:color w:val="000000" w:themeColor="text1"/>
          <w:sz w:val="24"/>
        </w:rPr>
      </w:pPr>
      <w:r w:rsidRPr="0032043F">
        <w:rPr>
          <w:rFonts w:asciiTheme="minorEastAsia" w:hAnsiTheme="minorEastAsia" w:cs="Times New Roman" w:hint="eastAsia"/>
          <w:color w:val="000000" w:themeColor="text1"/>
          <w:sz w:val="24"/>
        </w:rPr>
        <w:t>凡攻读博士学位的学生，必须通过博士资格考核。</w:t>
      </w:r>
      <w:r w:rsidRPr="0032043F">
        <w:rPr>
          <w:rFonts w:hint="eastAsia"/>
          <w:color w:val="000000" w:themeColor="text1"/>
          <w:sz w:val="24"/>
        </w:rPr>
        <w:t>博士生资格</w:t>
      </w:r>
      <w:r w:rsidRPr="0032043F">
        <w:rPr>
          <w:rFonts w:asciiTheme="minorEastAsia" w:hAnsiTheme="minorEastAsia" w:cs="Times New Roman" w:hint="eastAsia"/>
          <w:color w:val="000000" w:themeColor="text1"/>
          <w:sz w:val="24"/>
        </w:rPr>
        <w:t>考核</w:t>
      </w:r>
      <w:r w:rsidRPr="0032043F">
        <w:rPr>
          <w:rFonts w:hint="eastAsia"/>
          <w:color w:val="000000" w:themeColor="text1"/>
          <w:sz w:val="24"/>
        </w:rPr>
        <w:t>是正式进入学位论文研究阶段前的学科综合型考试。资格</w:t>
      </w:r>
      <w:r w:rsidRPr="0032043F">
        <w:rPr>
          <w:rFonts w:asciiTheme="minorEastAsia" w:hAnsiTheme="minorEastAsia" w:cs="Times New Roman" w:hint="eastAsia"/>
          <w:color w:val="000000" w:themeColor="text1"/>
          <w:sz w:val="24"/>
        </w:rPr>
        <w:t>考核</w:t>
      </w:r>
      <w:r w:rsidRPr="0032043F">
        <w:rPr>
          <w:rFonts w:hint="eastAsia"/>
          <w:color w:val="000000" w:themeColor="text1"/>
          <w:sz w:val="24"/>
        </w:rPr>
        <w:t>重点考查博士生是否掌握坚实和宽广的学科基础和专门知识；是否能综合运用这些知识分析和解决问题；是否具备进行创新性研究工作的能力。</w:t>
      </w:r>
      <w:r w:rsidRPr="0032043F">
        <w:rPr>
          <w:rFonts w:asciiTheme="minorEastAsia" w:hAnsiTheme="minorEastAsia" w:cs="Times New Roman" w:hint="eastAsia"/>
          <w:color w:val="000000" w:themeColor="text1"/>
          <w:sz w:val="24"/>
        </w:rPr>
        <w:t>资格考</w:t>
      </w:r>
      <w:bookmarkStart w:id="0" w:name="_GoBack"/>
      <w:bookmarkEnd w:id="0"/>
      <w:r w:rsidRPr="0032043F">
        <w:rPr>
          <w:rFonts w:asciiTheme="minorEastAsia" w:hAnsiTheme="minorEastAsia" w:cs="Times New Roman" w:hint="eastAsia"/>
          <w:color w:val="000000" w:themeColor="text1"/>
          <w:sz w:val="24"/>
        </w:rPr>
        <w:t>核由系博士生资格考核小组根据《南京大学数学系博士研究生资格考核方案》负责实施。博士生在二年级上学期（直博生四年级上学期）必须申请参加第一次资格考核。对博士</w:t>
      </w:r>
      <w:r w:rsidRPr="0032043F">
        <w:rPr>
          <w:rFonts w:hint="eastAsia"/>
          <w:color w:val="000000" w:themeColor="text1"/>
          <w:sz w:val="24"/>
        </w:rPr>
        <w:t>资格考核作有限时间（最多６年）内有限考核次数（最多３次）的规定。对于６年内未能通过博士资格考核者，学校将视之为自动终止学业，予以退学作肄业处理。博士生通过资格考核以后方可进入开题环节并做开题报告。</w:t>
      </w:r>
    </w:p>
    <w:p w:rsidR="004F6F31" w:rsidRPr="0032043F" w:rsidRDefault="00216083">
      <w:pPr>
        <w:spacing w:line="360" w:lineRule="auto"/>
        <w:ind w:firstLineChars="200" w:firstLine="480"/>
        <w:rPr>
          <w:rFonts w:asciiTheme="minorEastAsia" w:hAnsiTheme="minorEastAsia" w:cs="Times New Roman"/>
          <w:color w:val="000000" w:themeColor="text1"/>
          <w:sz w:val="24"/>
        </w:rPr>
      </w:pPr>
      <w:r w:rsidRPr="0032043F">
        <w:rPr>
          <w:rFonts w:asciiTheme="minorEastAsia" w:hAnsiTheme="minorEastAsia" w:cs="Times New Roman" w:hint="eastAsia"/>
          <w:color w:val="000000" w:themeColor="text1"/>
          <w:sz w:val="24"/>
        </w:rPr>
        <w:t>（4）开题报告</w:t>
      </w:r>
    </w:p>
    <w:p w:rsidR="004F6F31" w:rsidRPr="0032043F" w:rsidRDefault="00216083">
      <w:pPr>
        <w:pStyle w:val="Default"/>
        <w:spacing w:line="360" w:lineRule="auto"/>
        <w:ind w:firstLineChars="200" w:firstLine="480"/>
        <w:rPr>
          <w:rFonts w:asciiTheme="minorEastAsia" w:eastAsiaTheme="minorEastAsia" w:hAnsiTheme="minorEastAsia" w:cs="仿宋"/>
          <w:color w:val="000000" w:themeColor="text1"/>
        </w:rPr>
      </w:pPr>
      <w:r w:rsidRPr="0032043F">
        <w:rPr>
          <w:rFonts w:asciiTheme="minorEastAsia" w:eastAsiaTheme="minorEastAsia" w:hAnsiTheme="minorEastAsia" w:hint="eastAsia"/>
          <w:color w:val="000000" w:themeColor="text1"/>
        </w:rPr>
        <w:t>博士生入学后应当在指导教师指导下</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查阅文献资料</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了解学科现状和动向</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尽早确定课题方向</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制定论文工作计划</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完成论文选题</w:t>
      </w:r>
      <w:r w:rsidRPr="0032043F">
        <w:rPr>
          <w:rFonts w:asciiTheme="minorEastAsia" w:eastAsiaTheme="minorEastAsia" w:hAnsiTheme="minorEastAsia" w:cs="Malgun Gothic Semilight" w:hint="eastAsia"/>
          <w:color w:val="000000" w:themeColor="text1"/>
        </w:rPr>
        <w:t>。</w:t>
      </w:r>
      <w:r w:rsidRPr="0032043F">
        <w:rPr>
          <w:rFonts w:asciiTheme="minorEastAsia" w:hAnsiTheme="minorEastAsia" w:cs="Times New Roman" w:hint="eastAsia"/>
          <w:color w:val="000000" w:themeColor="text1"/>
        </w:rPr>
        <w:t>博士生通过资格考核以后方可进入开题环节并做开题报告。</w:t>
      </w:r>
      <w:r w:rsidRPr="0032043F">
        <w:rPr>
          <w:rFonts w:asciiTheme="minorEastAsia" w:eastAsiaTheme="minorEastAsia" w:hAnsiTheme="minorEastAsia" w:hint="eastAsia"/>
          <w:color w:val="000000" w:themeColor="text1"/>
        </w:rPr>
        <w:t>开题报告包含文献综述</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选题背景及其意义</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研究内容</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工作特色及难点</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预期成果及可能的创新点等</w:t>
      </w:r>
      <w:r w:rsidRPr="0032043F">
        <w:rPr>
          <w:rFonts w:asciiTheme="minorEastAsia" w:eastAsiaTheme="minorEastAsia" w:hAnsiTheme="minorEastAsia" w:cs="Malgun Gothic Semilight" w:hint="eastAsia"/>
          <w:color w:val="000000" w:themeColor="text1"/>
        </w:rPr>
        <w:t>。开题</w:t>
      </w:r>
      <w:r w:rsidRPr="0032043F">
        <w:rPr>
          <w:rFonts w:asciiTheme="minorEastAsia" w:eastAsiaTheme="minorEastAsia" w:hAnsiTheme="minorEastAsia" w:hint="eastAsia"/>
          <w:color w:val="000000" w:themeColor="text1"/>
        </w:rPr>
        <w:t>报告应当以学术活动方式至少在二级学科范围内公开进行</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并由以博士生指导教师及指导小组成员为主体组成的考核小组评审</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考核小组中具有博士生指导资格的教师不少于三人</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属于学科交叉培养博士生的论文选题报告会应当聘请所涉其他学科的专家参加</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经评审通过的开题报告</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应当以书面形式报院系备案</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在论文研究工作过程中论文课题有重大变动的</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应当重新进行开题报告</w:t>
      </w:r>
      <w:r w:rsidRPr="0032043F">
        <w:rPr>
          <w:rFonts w:asciiTheme="minorEastAsia" w:eastAsiaTheme="minorEastAsia" w:hAnsiTheme="minorEastAsia" w:cs="仿宋" w:hint="eastAsia"/>
          <w:color w:val="000000" w:themeColor="text1"/>
        </w:rPr>
        <w:t>。开题</w:t>
      </w:r>
      <w:r w:rsidRPr="0032043F">
        <w:rPr>
          <w:rFonts w:asciiTheme="minorEastAsia" w:eastAsiaTheme="minorEastAsia" w:hAnsiTheme="minorEastAsia" w:hint="eastAsia"/>
          <w:color w:val="000000" w:themeColor="text1"/>
        </w:rPr>
        <w:t>报告的具体完成时间由指导教师决定</w:t>
      </w:r>
      <w:r w:rsidRPr="0032043F">
        <w:rPr>
          <w:rFonts w:asciiTheme="minorEastAsia" w:eastAsiaTheme="minorEastAsia" w:hAnsiTheme="minorEastAsia" w:cs="Malgun Gothic Semilight" w:hint="eastAsia"/>
          <w:color w:val="000000" w:themeColor="text1"/>
        </w:rPr>
        <w:t>，</w:t>
      </w:r>
      <w:r w:rsidRPr="0032043F">
        <w:rPr>
          <w:rFonts w:asciiTheme="minorEastAsia" w:eastAsiaTheme="minorEastAsia" w:hAnsiTheme="minorEastAsia" w:hint="eastAsia"/>
          <w:color w:val="000000" w:themeColor="text1"/>
        </w:rPr>
        <w:t>但自开题报告通过至申请答辩的时间一般不少于一年</w:t>
      </w:r>
      <w:r w:rsidRPr="0032043F">
        <w:rPr>
          <w:rFonts w:asciiTheme="minorEastAsia" w:eastAsiaTheme="minorEastAsia" w:hAnsiTheme="minorEastAsia" w:cs="Malgun Gothic Semilight" w:hint="eastAsia"/>
          <w:color w:val="000000" w:themeColor="text1"/>
        </w:rPr>
        <w:t>。</w:t>
      </w:r>
    </w:p>
    <w:p w:rsidR="004F6F31" w:rsidRPr="0032043F" w:rsidRDefault="00216083">
      <w:pPr>
        <w:spacing w:line="360" w:lineRule="auto"/>
        <w:ind w:firstLineChars="200" w:firstLine="480"/>
        <w:rPr>
          <w:rFonts w:asciiTheme="minorEastAsia" w:hAnsiTheme="minorEastAsia" w:cs="Times New Roman"/>
          <w:color w:val="000000" w:themeColor="text1"/>
          <w:sz w:val="24"/>
        </w:rPr>
      </w:pPr>
      <w:r w:rsidRPr="0032043F">
        <w:rPr>
          <w:rFonts w:asciiTheme="minorEastAsia" w:hAnsiTheme="minorEastAsia" w:cs="Times New Roman" w:hint="eastAsia"/>
          <w:color w:val="000000" w:themeColor="text1"/>
          <w:sz w:val="24"/>
        </w:rPr>
        <w:t>（5）学位论文</w:t>
      </w:r>
    </w:p>
    <w:p w:rsidR="004F6F31" w:rsidRDefault="00216083">
      <w:pPr>
        <w:spacing w:line="360" w:lineRule="auto"/>
        <w:ind w:firstLineChars="200" w:firstLine="480"/>
        <w:rPr>
          <w:rFonts w:asciiTheme="minorEastAsia" w:hAnsiTheme="minorEastAsia" w:cs="Times New Roman"/>
          <w:sz w:val="24"/>
        </w:rPr>
      </w:pPr>
      <w:r>
        <w:rPr>
          <w:rFonts w:asciiTheme="minorEastAsia" w:hAnsiTheme="minorEastAsia" w:cs="Times New Roman" w:hint="eastAsia"/>
          <w:sz w:val="24"/>
        </w:rPr>
        <w:t>学位论文须经过开题报告、进展检查、预答辩、文本预审、论文评议和答辩等过程的严格审核，详见第六条“学位论文和答辩”。</w:t>
      </w:r>
    </w:p>
    <w:p w:rsidR="004F6F31" w:rsidRDefault="00216083">
      <w:pPr>
        <w:spacing w:line="360" w:lineRule="auto"/>
        <w:ind w:firstLineChars="200" w:firstLine="480"/>
        <w:rPr>
          <w:rFonts w:asciiTheme="minorEastAsia" w:hAnsiTheme="minorEastAsia" w:cs="Times New Roman"/>
          <w:sz w:val="24"/>
        </w:rPr>
      </w:pPr>
      <w:r>
        <w:rPr>
          <w:rFonts w:asciiTheme="minorEastAsia" w:hAnsiTheme="minorEastAsia" w:cs="Times New Roman" w:hint="eastAsia"/>
          <w:sz w:val="24"/>
        </w:rPr>
        <w:t>（6）科研成果</w:t>
      </w:r>
    </w:p>
    <w:p w:rsidR="004F6F31" w:rsidRDefault="00216083">
      <w:pPr>
        <w:pStyle w:val="a3"/>
        <w:spacing w:line="360" w:lineRule="auto"/>
        <w:ind w:firstLine="420"/>
        <w:jc w:val="left"/>
        <w:rPr>
          <w:rFonts w:asciiTheme="minorEastAsia" w:hAnsiTheme="minorEastAsia" w:cs="Times New Roman"/>
          <w:sz w:val="24"/>
        </w:rPr>
      </w:pPr>
      <w:r>
        <w:rPr>
          <w:rFonts w:asciiTheme="minorEastAsia" w:hAnsiTheme="minorEastAsia" w:cs="宋体" w:hint="eastAsia"/>
          <w:color w:val="000000"/>
          <w:sz w:val="24"/>
          <w:szCs w:val="24"/>
          <w:lang w:bidi="ar-SA"/>
        </w:rPr>
        <w:t>博士生需达到我系规定的科研成果审核标准，见第七条“博士学位授予质量标准的要求”，方能提出学位申请。鼓励博士生从事重大创新研究，如从事重大创新研究但成果尚未发表，经系学位评定分委员会认定，也可申请博士学位。拟申请该类别的学位的申请者需提前向系学位评定分委员会提交从事重大创新研究的申请认定，申请时需通过博士生资格考核，系学位评定分委员会每个秋季学期末进行一次认定，认定的名额原则上不超过前一年授予博士学位总数的15%。</w:t>
      </w:r>
    </w:p>
    <w:p w:rsidR="004F6F31" w:rsidRDefault="00216083">
      <w:pPr>
        <w:spacing w:line="360" w:lineRule="auto"/>
        <w:ind w:firstLineChars="200" w:firstLine="480"/>
        <w:rPr>
          <w:rFonts w:asciiTheme="minorEastAsia" w:hAnsiTheme="minorEastAsia" w:cs="Times New Roman"/>
          <w:sz w:val="24"/>
        </w:rPr>
      </w:pPr>
      <w:r>
        <w:rPr>
          <w:rFonts w:asciiTheme="minorEastAsia" w:hAnsiTheme="minorEastAsia" w:cs="Times New Roman" w:hint="eastAsia"/>
          <w:sz w:val="24"/>
        </w:rPr>
        <w:t>六、学位论文和答辩</w:t>
      </w:r>
    </w:p>
    <w:p w:rsidR="004F6F31" w:rsidRDefault="00216083">
      <w:pPr>
        <w:spacing w:line="360" w:lineRule="auto"/>
        <w:ind w:firstLineChars="200" w:firstLine="480"/>
        <w:rPr>
          <w:rFonts w:asciiTheme="minorEastAsia" w:hAnsiTheme="minorEastAsia" w:cs="Times New Roman"/>
          <w:sz w:val="24"/>
        </w:rPr>
      </w:pPr>
      <w:r>
        <w:rPr>
          <w:rFonts w:hint="eastAsia"/>
          <w:sz w:val="24"/>
        </w:rPr>
        <w:t>博士学位论文是博士生在指导教师指导下独立完成的、系统完整的学术研究工作的总结，应当体现博士生在数学学科领域做出的创造性学术成果，应当反映博士生已经掌握坚实宽广的基础理论和系统深入的专门知识，并具备独立从事学术研究工作的能力。</w:t>
      </w:r>
      <w:r>
        <w:rPr>
          <w:rFonts w:asciiTheme="minorEastAsia" w:hAnsiTheme="minorEastAsia" w:cs="Times New Roman" w:hint="eastAsia"/>
          <w:sz w:val="24"/>
        </w:rPr>
        <w:t>学位论文应选择数学学科前沿课题和有重要应用价值的课题，注重创新性和先进性。</w:t>
      </w:r>
    </w:p>
    <w:p w:rsidR="004F6F31" w:rsidRDefault="00216083">
      <w:pPr>
        <w:spacing w:line="360" w:lineRule="auto"/>
        <w:ind w:firstLineChars="200" w:firstLine="480"/>
        <w:rPr>
          <w:sz w:val="24"/>
        </w:rPr>
      </w:pPr>
      <w:r>
        <w:rPr>
          <w:rFonts w:hint="eastAsia"/>
          <w:sz w:val="24"/>
        </w:rPr>
        <w:t>博士学位论文研究的实际工作时间一般不少于两年。博士学位论文应在开题报告通过以后方可撰写，博士生应当按照研究生学位论文写作的有关规定和要求撰写学位论文。</w:t>
      </w:r>
    </w:p>
    <w:p w:rsidR="004F6F31" w:rsidRDefault="00216083">
      <w:pPr>
        <w:spacing w:line="360" w:lineRule="auto"/>
        <w:ind w:firstLineChars="200" w:firstLine="480"/>
        <w:rPr>
          <w:sz w:val="24"/>
        </w:rPr>
      </w:pPr>
      <w:r>
        <w:rPr>
          <w:rFonts w:hint="eastAsia"/>
          <w:sz w:val="24"/>
        </w:rPr>
        <w:t>在博士学位论文工作中期，院系应当至少在二级学科范围内组织考核小组对研究生的综合能力、论文工作进展情况以及工作态度和精力投入等进行全面检查。考核小组应当由三至五名教师组成，属于学科交叉培养博士生的论文中期考核应当聘请所涉其他学科的专家参加。中期检查通过者，准予继续进行论文工作。</w:t>
      </w:r>
    </w:p>
    <w:p w:rsidR="004F6F31" w:rsidRDefault="00216083">
      <w:pPr>
        <w:spacing w:line="360" w:lineRule="auto"/>
        <w:ind w:firstLineChars="200" w:firstLine="480"/>
        <w:rPr>
          <w:rFonts w:asciiTheme="minorEastAsia" w:hAnsiTheme="minorEastAsia" w:cs="Times New Roman"/>
          <w:sz w:val="24"/>
        </w:rPr>
      </w:pPr>
      <w:r>
        <w:rPr>
          <w:rFonts w:hint="eastAsia"/>
          <w:sz w:val="24"/>
        </w:rPr>
        <w:t>在学位论文工作基本完成后，距正式申请答辩至少两个月前，博士生应当进行论文预答辩。除导师外，院系邀请三名以上同行专家对论文工作的主要成果和创新性等进行评议。同行专家应当为本学科或相关学科博士生指导教师或具有正高级专业技术职务的专家，</w:t>
      </w:r>
      <w:r>
        <w:rPr>
          <w:rFonts w:asciiTheme="minorEastAsia" w:hAnsiTheme="minorEastAsia" w:hint="eastAsia"/>
          <w:sz w:val="24"/>
        </w:rPr>
        <w:t>条件许可时预答辩专家中至少有一人为学位评定分委员会的委员</w:t>
      </w:r>
      <w:r>
        <w:rPr>
          <w:rFonts w:hint="eastAsia"/>
          <w:sz w:val="24"/>
        </w:rPr>
        <w:t>。属于学科交叉培养博士生的论文预答辩应当聘请所涉其他学科专家参加。预答辩通过后方可提交学位论文送审。</w:t>
      </w:r>
    </w:p>
    <w:p w:rsidR="004F6F31" w:rsidRDefault="00216083">
      <w:pPr>
        <w:spacing w:line="360" w:lineRule="auto"/>
        <w:ind w:firstLineChars="200" w:firstLine="480"/>
        <w:rPr>
          <w:rFonts w:asciiTheme="minorEastAsia" w:hAnsiTheme="minorEastAsia" w:cs="Times New Roman"/>
          <w:sz w:val="24"/>
        </w:rPr>
      </w:pPr>
      <w:r>
        <w:rPr>
          <w:rFonts w:asciiTheme="minorEastAsia" w:hAnsiTheme="minorEastAsia" w:cs="Times New Roman" w:hint="eastAsia"/>
          <w:sz w:val="24"/>
        </w:rPr>
        <w:t>南京大学每年有3月、6月、9月、12月4次学位授予批次，申请答辩的博士研究生需要提前两个月时间（即每年的12、3、6、9月的20日前）在答辩系统上提交答辩申请，校学位办按一定的比例对博士学位论文进行抽检送审，在送审过程中采取“盲审”方法。博士生在提交答辩申请之前，请至少提前10天联系数学系研究生秘书申请系内文本预审。</w:t>
      </w:r>
    </w:p>
    <w:p w:rsidR="004F6F31" w:rsidRDefault="00216083">
      <w:pPr>
        <w:spacing w:line="360" w:lineRule="auto"/>
        <w:ind w:firstLineChars="200" w:firstLine="480"/>
        <w:rPr>
          <w:rFonts w:asciiTheme="minorEastAsia" w:hAnsiTheme="minorEastAsia" w:cs="Times New Roman"/>
          <w:sz w:val="24"/>
        </w:rPr>
      </w:pPr>
      <w:r>
        <w:rPr>
          <w:rFonts w:asciiTheme="minorEastAsia" w:hAnsiTheme="minorEastAsia" w:cs="Times New Roman" w:hint="eastAsia"/>
          <w:sz w:val="24"/>
        </w:rPr>
        <w:t>博士论文的评阅、评议和答辩根据《南京大学关于学位论文的评阅、评议及答辩的说明》、《</w:t>
      </w:r>
      <w:r>
        <w:rPr>
          <w:rFonts w:asciiTheme="minorEastAsia" w:hAnsiTheme="minorEastAsia" w:cs="Times New Roman"/>
          <w:sz w:val="24"/>
        </w:rPr>
        <w:t>南京大学博士学位论文抽检盲审暂行办法及实施细则（试行）</w:t>
      </w:r>
      <w:r>
        <w:rPr>
          <w:rFonts w:asciiTheme="minorEastAsia" w:hAnsiTheme="minorEastAsia" w:cs="Times New Roman" w:hint="eastAsia"/>
          <w:sz w:val="24"/>
        </w:rPr>
        <w:t>》等文件执行。</w:t>
      </w:r>
    </w:p>
    <w:p w:rsidR="004F6F31" w:rsidRDefault="00216083">
      <w:pPr>
        <w:spacing w:line="360" w:lineRule="auto"/>
        <w:ind w:firstLineChars="200" w:firstLine="480"/>
        <w:rPr>
          <w:rFonts w:asciiTheme="minorEastAsia" w:hAnsiTheme="minorEastAsia" w:cs="Times New Roman"/>
          <w:sz w:val="24"/>
        </w:rPr>
      </w:pPr>
      <w:r>
        <w:rPr>
          <w:rFonts w:asciiTheme="minorEastAsia" w:hAnsiTheme="minorEastAsia" w:cs="Times New Roman" w:hint="eastAsia"/>
          <w:sz w:val="24"/>
        </w:rPr>
        <w:t>七、博士学位授予质量标准</w:t>
      </w:r>
    </w:p>
    <w:p w:rsidR="004F6F31" w:rsidRDefault="00216083">
      <w:pPr>
        <w:spacing w:line="360" w:lineRule="auto"/>
        <w:ind w:firstLineChars="200" w:firstLine="480"/>
        <w:rPr>
          <w:rFonts w:asciiTheme="minorEastAsia" w:hAnsiTheme="minorEastAsia" w:cs="Times New Roman"/>
          <w:sz w:val="24"/>
        </w:rPr>
      </w:pPr>
      <w:r>
        <w:rPr>
          <w:rFonts w:asciiTheme="minorEastAsia" w:hAnsiTheme="minorEastAsia" w:cs="Times New Roman" w:hint="eastAsia"/>
          <w:sz w:val="24"/>
        </w:rPr>
        <w:t>博士生完成培养计划、满足数学学科博士培养方案要求、学位论文通过答辩，方能申请博士学位。申请博士学位时，博士生应向系学位评定分委员会提交一至两篇代表作（已发表或已接收）或者代表性创新成果。代表作或代表性创新成果以论文形式呈现时，申请人应是第一作者或者字母序的通讯作者，南京大学为第一署名单位。详见《南京大学数学系博士学位授予质量标准（试行）》。</w:t>
      </w:r>
    </w:p>
    <w:p w:rsidR="004F6F31" w:rsidRDefault="00216083">
      <w:pPr>
        <w:spacing w:line="360" w:lineRule="auto"/>
        <w:ind w:firstLineChars="200" w:firstLine="480"/>
        <w:rPr>
          <w:rFonts w:asciiTheme="minorEastAsia" w:hAnsiTheme="minorEastAsia" w:cs="Times New Roman"/>
          <w:sz w:val="24"/>
        </w:rPr>
      </w:pPr>
      <w:r>
        <w:rPr>
          <w:rFonts w:asciiTheme="minorEastAsia" w:hAnsiTheme="minorEastAsia" w:cs="Times New Roman" w:hint="eastAsia"/>
          <w:sz w:val="24"/>
        </w:rPr>
        <w:t>八、硕博连读和直博</w:t>
      </w:r>
    </w:p>
    <w:p w:rsidR="004F6F31" w:rsidRDefault="00216083">
      <w:pPr>
        <w:spacing w:line="360" w:lineRule="auto"/>
        <w:ind w:firstLineChars="200" w:firstLine="480"/>
        <w:rPr>
          <w:rFonts w:asciiTheme="minorEastAsia" w:hAnsiTheme="minorEastAsia" w:cs="Times New Roman"/>
          <w:sz w:val="24"/>
        </w:rPr>
      </w:pPr>
      <w:r>
        <w:rPr>
          <w:rFonts w:asciiTheme="minorEastAsia" w:hAnsiTheme="minorEastAsia" w:cs="Times New Roman" w:hint="eastAsia"/>
          <w:sz w:val="24"/>
        </w:rPr>
        <w:t>硕博连读生: 为保证优秀博士生生源和科研工作的连续性，按不超过前一年度录取博士生总数60%的比例，在二年级和三年级硕士生中选拔优秀研究生硕博连读。硕博连读研究生的选拔要求为：专业兴趣浓厚、中期考核优良、具备科研创新的基础和能力，对部分有突出才能或在读期间取得重要成果的研究生可不受成绩和名额的限制。在第三学期末和第五学期末，中期考核优良的硕士生可以申请硕博连读，系招生领导小组对申请硕博连读的研究生进行考核，申请的研究生需通过笔试和面试考核，通过者转为硕博连读生，不通过者继续按硕士生要求培养。二年级申请硕博连读生基本学制为五年，三年级申请硕博连读生基本学制为六年，分别在第三年或第四年进入博士阶段学习，不做硕士学位论文，不授予硕士学位；提前攻博生申请学位时，科研要求与普通博士生相同。</w:t>
      </w:r>
    </w:p>
    <w:p w:rsidR="004F6F31" w:rsidRDefault="00216083">
      <w:pPr>
        <w:spacing w:line="360" w:lineRule="auto"/>
        <w:ind w:firstLineChars="200" w:firstLine="480"/>
        <w:rPr>
          <w:rFonts w:asciiTheme="minorEastAsia" w:hAnsiTheme="minorEastAsia" w:cs="Times New Roman"/>
          <w:sz w:val="24"/>
        </w:rPr>
      </w:pPr>
      <w:r>
        <w:rPr>
          <w:rFonts w:asciiTheme="minorEastAsia" w:hAnsiTheme="minorEastAsia" w:cs="Times New Roman" w:hint="eastAsia"/>
          <w:sz w:val="24"/>
        </w:rPr>
        <w:t>直博生：基本学制五年，需完成硕士所有的教学计划（免修硕士生英语）和博士的所有公共基础课程。直博生申请学位时，科研要求与普通博士生相同。</w:t>
      </w:r>
    </w:p>
    <w:p w:rsidR="004F6F31" w:rsidRDefault="00216083">
      <w:pPr>
        <w:numPr>
          <w:ilvl w:val="0"/>
          <w:numId w:val="1"/>
        </w:numPr>
        <w:spacing w:line="360" w:lineRule="auto"/>
        <w:ind w:firstLineChars="200" w:firstLine="480"/>
        <w:rPr>
          <w:rFonts w:asciiTheme="minorEastAsia" w:hAnsiTheme="minorEastAsia" w:cs="Times New Roman"/>
          <w:sz w:val="24"/>
        </w:rPr>
      </w:pPr>
      <w:r>
        <w:rPr>
          <w:rFonts w:asciiTheme="minorEastAsia" w:hAnsiTheme="minorEastAsia" w:cs="Times New Roman" w:hint="eastAsia"/>
          <w:sz w:val="24"/>
        </w:rPr>
        <w:t>本培养方案从2020年9月开始实行，解释权归南京大学数学系所有。</w:t>
      </w:r>
    </w:p>
    <w:p w:rsidR="004F6F31" w:rsidRDefault="00216083">
      <w:pPr>
        <w:spacing w:line="360" w:lineRule="auto"/>
        <w:jc w:val="right"/>
        <w:rPr>
          <w:rFonts w:asciiTheme="minorEastAsia" w:hAnsiTheme="minorEastAsia" w:cs="Times New Roman"/>
          <w:sz w:val="24"/>
        </w:rPr>
      </w:pPr>
      <w:r>
        <w:rPr>
          <w:rFonts w:asciiTheme="minorEastAsia" w:hAnsiTheme="minorEastAsia" w:cs="Times New Roman" w:hint="eastAsia"/>
          <w:sz w:val="24"/>
        </w:rPr>
        <w:t>南京大学数学系</w:t>
      </w:r>
    </w:p>
    <w:p w:rsidR="004F6F31" w:rsidRDefault="00216083">
      <w:pPr>
        <w:spacing w:line="360" w:lineRule="auto"/>
        <w:jc w:val="right"/>
        <w:rPr>
          <w:rFonts w:asciiTheme="minorEastAsia" w:hAnsiTheme="minorEastAsia" w:cs="Times New Roman"/>
          <w:sz w:val="24"/>
        </w:rPr>
      </w:pPr>
      <w:r>
        <w:rPr>
          <w:rFonts w:asciiTheme="minorEastAsia" w:hAnsiTheme="minorEastAsia" w:cs="Times New Roman" w:hint="eastAsia"/>
          <w:sz w:val="24"/>
        </w:rPr>
        <w:t>2020年8月21日</w:t>
      </w:r>
    </w:p>
    <w:sectPr w:rsidR="004F6F31" w:rsidSect="004F6F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136" w:rsidRDefault="00012136" w:rsidP="0032043F">
      <w:r>
        <w:separator/>
      </w:r>
    </w:p>
  </w:endnote>
  <w:endnote w:type="continuationSeparator" w:id="1">
    <w:p w:rsidR="00012136" w:rsidRDefault="00012136" w:rsidP="00320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algun Gothic Semilight">
    <w:altName w:val="宋体"/>
    <w:charset w:val="86"/>
    <w:family w:val="swiss"/>
    <w:pitch w:val="default"/>
    <w:sig w:usb0="00000000" w:usb1="00000000" w:usb2="00000012" w:usb3="00000000" w:csb0="003E01BD"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136" w:rsidRDefault="00012136" w:rsidP="0032043F">
      <w:r>
        <w:separator/>
      </w:r>
    </w:p>
  </w:footnote>
  <w:footnote w:type="continuationSeparator" w:id="1">
    <w:p w:rsidR="00012136" w:rsidRDefault="00012136" w:rsidP="003204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827E4E"/>
    <w:multiLevelType w:val="singleLevel"/>
    <w:tmpl w:val="E9827E4E"/>
    <w:lvl w:ilvl="0">
      <w:start w:val="9"/>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0BB5AB0"/>
    <w:rsid w:val="00012136"/>
    <w:rsid w:val="00044986"/>
    <w:rsid w:val="000A10A6"/>
    <w:rsid w:val="000C792F"/>
    <w:rsid w:val="00112856"/>
    <w:rsid w:val="00120ED1"/>
    <w:rsid w:val="00135A4C"/>
    <w:rsid w:val="00153095"/>
    <w:rsid w:val="00216083"/>
    <w:rsid w:val="00220ADE"/>
    <w:rsid w:val="002930FD"/>
    <w:rsid w:val="00293E6F"/>
    <w:rsid w:val="002E73A8"/>
    <w:rsid w:val="00316900"/>
    <w:rsid w:val="0032043F"/>
    <w:rsid w:val="00361CDE"/>
    <w:rsid w:val="003F67CF"/>
    <w:rsid w:val="00422D8C"/>
    <w:rsid w:val="00484726"/>
    <w:rsid w:val="004C7CA9"/>
    <w:rsid w:val="004F67AA"/>
    <w:rsid w:val="004F6F31"/>
    <w:rsid w:val="00537D73"/>
    <w:rsid w:val="0057008B"/>
    <w:rsid w:val="005D2F1C"/>
    <w:rsid w:val="006A6266"/>
    <w:rsid w:val="006E2CD5"/>
    <w:rsid w:val="00750121"/>
    <w:rsid w:val="00773EE1"/>
    <w:rsid w:val="00816074"/>
    <w:rsid w:val="00820C2A"/>
    <w:rsid w:val="009674E5"/>
    <w:rsid w:val="00985073"/>
    <w:rsid w:val="00A75685"/>
    <w:rsid w:val="00A83283"/>
    <w:rsid w:val="00B74B82"/>
    <w:rsid w:val="00C41AC1"/>
    <w:rsid w:val="00C454B3"/>
    <w:rsid w:val="00C954A9"/>
    <w:rsid w:val="00CB4309"/>
    <w:rsid w:val="00D64DEB"/>
    <w:rsid w:val="00D95D55"/>
    <w:rsid w:val="00DB6F62"/>
    <w:rsid w:val="00DE648D"/>
    <w:rsid w:val="00EC1F60"/>
    <w:rsid w:val="00ED34D9"/>
    <w:rsid w:val="00EF3401"/>
    <w:rsid w:val="00EF56BE"/>
    <w:rsid w:val="00F21370"/>
    <w:rsid w:val="00F52F80"/>
    <w:rsid w:val="00FD2B0D"/>
    <w:rsid w:val="1DA72C98"/>
    <w:rsid w:val="1FD35AD0"/>
    <w:rsid w:val="293D20A9"/>
    <w:rsid w:val="30BB5AB0"/>
    <w:rsid w:val="319F3E94"/>
    <w:rsid w:val="37740246"/>
    <w:rsid w:val="39C41F0E"/>
    <w:rsid w:val="3BC41A4C"/>
    <w:rsid w:val="59263070"/>
    <w:rsid w:val="662949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6F31"/>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4F6F3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4F6F31"/>
    <w:rPr>
      <w:rFonts w:ascii="宋体" w:hAnsi="Courier New"/>
      <w:szCs w:val="21"/>
      <w:lang w:bidi="he-IL"/>
    </w:rPr>
  </w:style>
  <w:style w:type="paragraph" w:styleId="a4">
    <w:name w:val="footer"/>
    <w:basedOn w:val="a"/>
    <w:link w:val="Char"/>
    <w:qFormat/>
    <w:rsid w:val="004F6F31"/>
    <w:pPr>
      <w:tabs>
        <w:tab w:val="center" w:pos="4153"/>
        <w:tab w:val="right" w:pos="8306"/>
      </w:tabs>
      <w:snapToGrid w:val="0"/>
      <w:jc w:val="left"/>
    </w:pPr>
    <w:rPr>
      <w:sz w:val="18"/>
      <w:szCs w:val="18"/>
    </w:rPr>
  </w:style>
  <w:style w:type="paragraph" w:styleId="a5">
    <w:name w:val="header"/>
    <w:basedOn w:val="a"/>
    <w:link w:val="Char0"/>
    <w:qFormat/>
    <w:rsid w:val="004F6F31"/>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4F6F31"/>
    <w:rPr>
      <w:b/>
      <w:bCs/>
    </w:rPr>
  </w:style>
  <w:style w:type="paragraph" w:customStyle="1" w:styleId="Default">
    <w:name w:val="Default"/>
    <w:qFormat/>
    <w:rsid w:val="004F6F31"/>
    <w:pPr>
      <w:widowControl w:val="0"/>
      <w:autoSpaceDE w:val="0"/>
      <w:autoSpaceDN w:val="0"/>
      <w:adjustRightInd w:val="0"/>
    </w:pPr>
    <w:rPr>
      <w:rFonts w:ascii="宋体" w:cs="宋体"/>
      <w:color w:val="000000"/>
      <w:sz w:val="24"/>
      <w:szCs w:val="24"/>
    </w:rPr>
  </w:style>
  <w:style w:type="character" w:customStyle="1" w:styleId="Char0">
    <w:name w:val="页眉 Char"/>
    <w:basedOn w:val="a0"/>
    <w:link w:val="a5"/>
    <w:qFormat/>
    <w:rsid w:val="004F6F31"/>
    <w:rPr>
      <w:kern w:val="2"/>
      <w:sz w:val="18"/>
      <w:szCs w:val="18"/>
    </w:rPr>
  </w:style>
  <w:style w:type="character" w:customStyle="1" w:styleId="Char">
    <w:name w:val="页脚 Char"/>
    <w:basedOn w:val="a0"/>
    <w:link w:val="a4"/>
    <w:qFormat/>
    <w:rsid w:val="004F6F31"/>
    <w:rPr>
      <w:kern w:val="2"/>
      <w:sz w:val="18"/>
      <w:szCs w:val="18"/>
    </w:rPr>
  </w:style>
  <w:style w:type="paragraph" w:styleId="a7">
    <w:name w:val="List Paragraph"/>
    <w:basedOn w:val="a"/>
    <w:uiPriority w:val="99"/>
    <w:qFormat/>
    <w:rsid w:val="004F6F31"/>
    <w:pPr>
      <w:ind w:firstLineChars="200" w:firstLine="420"/>
    </w:pPr>
  </w:style>
  <w:style w:type="character" w:customStyle="1" w:styleId="1Char">
    <w:name w:val="标题 1 Char"/>
    <w:basedOn w:val="a0"/>
    <w:link w:val="1"/>
    <w:uiPriority w:val="9"/>
    <w:qFormat/>
    <w:rsid w:val="004F6F31"/>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756</Words>
  <Characters>4314</Characters>
  <Application>Microsoft Office Word</Application>
  <DocSecurity>0</DocSecurity>
  <Lines>35</Lines>
  <Paragraphs>10</Paragraphs>
  <ScaleCrop>false</ScaleCrop>
  <Company>Lenovo</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wxy</dc:creator>
  <cp:lastModifiedBy>lenovo</cp:lastModifiedBy>
  <cp:revision>5</cp:revision>
  <dcterms:created xsi:type="dcterms:W3CDTF">2020-07-31T08:37:00Z</dcterms:created>
  <dcterms:modified xsi:type="dcterms:W3CDTF">2020-08-27T01:01:00Z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